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57E67C3D" w:rsidR="00067548" w:rsidRPr="00A8799B" w:rsidRDefault="00067548" w:rsidP="00067548">
      <w:pPr>
        <w:pStyle w:val="3GPPHeader"/>
        <w:spacing w:after="60"/>
      </w:pPr>
      <w:r w:rsidRPr="00A8799B">
        <w:t>3GPP TSG-RAN WG2</w:t>
      </w:r>
      <w:r w:rsidR="00502773" w:rsidRPr="00A8799B">
        <w:t xml:space="preserve"> #97</w:t>
      </w:r>
      <w:r w:rsidRPr="00A8799B">
        <w:tab/>
        <w:t xml:space="preserve">Tdoc </w:t>
      </w:r>
      <w:bookmarkStart w:id="0" w:name="_GoBack"/>
      <w:r w:rsidR="006C340A" w:rsidRPr="00A8799B">
        <w:rPr>
          <w:bCs/>
        </w:rPr>
        <w:t>R2-1700859</w:t>
      </w:r>
      <w:bookmarkEnd w:id="0"/>
    </w:p>
    <w:p w14:paraId="34D94E32" w14:textId="4944670D" w:rsidR="00067548" w:rsidRPr="00A8799B" w:rsidRDefault="007146AF" w:rsidP="00067548">
      <w:pPr>
        <w:pStyle w:val="3GPPHeader"/>
        <w:spacing w:after="60"/>
        <w:rPr>
          <w:b w:val="0"/>
          <w:noProof/>
        </w:rPr>
      </w:pPr>
      <w:r w:rsidRPr="00A8799B">
        <w:t>Athens</w:t>
      </w:r>
      <w:r w:rsidR="00067548" w:rsidRPr="00A8799B">
        <w:t xml:space="preserve">, </w:t>
      </w:r>
      <w:r w:rsidRPr="00A8799B">
        <w:t>Greece</w:t>
      </w:r>
      <w:r w:rsidR="00067548" w:rsidRPr="00A8799B">
        <w:t>, 1</w:t>
      </w:r>
      <w:r w:rsidRPr="00A8799B">
        <w:t>3</w:t>
      </w:r>
      <w:r w:rsidR="00067548" w:rsidRPr="00A8799B">
        <w:rPr>
          <w:vertAlign w:val="superscript"/>
        </w:rPr>
        <w:t>th</w:t>
      </w:r>
      <w:r w:rsidR="00067548" w:rsidRPr="00A8799B">
        <w:t xml:space="preserve"> – 1</w:t>
      </w:r>
      <w:r w:rsidRPr="00A8799B">
        <w:t>7</w:t>
      </w:r>
      <w:r w:rsidR="00067548" w:rsidRPr="00A8799B">
        <w:rPr>
          <w:vertAlign w:val="superscript"/>
        </w:rPr>
        <w:t>th</w:t>
      </w:r>
      <w:r w:rsidR="00067548" w:rsidRPr="00A8799B">
        <w:t xml:space="preserve"> </w:t>
      </w:r>
      <w:r w:rsidRPr="00A8799B">
        <w:t>February</w:t>
      </w:r>
      <w:r w:rsidR="00067548" w:rsidRPr="00A8799B">
        <w:t xml:space="preserve"> 2017</w:t>
      </w:r>
    </w:p>
    <w:p w14:paraId="56C12257" w14:textId="77777777" w:rsidR="00E90E49" w:rsidRPr="00A8799B" w:rsidRDefault="00E90E49" w:rsidP="00357380">
      <w:pPr>
        <w:pStyle w:val="3GPPHeader"/>
      </w:pPr>
    </w:p>
    <w:p w14:paraId="4A4F422A" w14:textId="2458CA31" w:rsidR="00E90E49" w:rsidRPr="00A8799B" w:rsidRDefault="00E90E49" w:rsidP="00311702">
      <w:pPr>
        <w:pStyle w:val="3GPPHeader"/>
        <w:rPr>
          <w:sz w:val="22"/>
        </w:rPr>
      </w:pPr>
      <w:r w:rsidRPr="00A8799B">
        <w:rPr>
          <w:sz w:val="22"/>
        </w:rPr>
        <w:t>Agenda Item:</w:t>
      </w:r>
      <w:r w:rsidRPr="00A8799B">
        <w:rPr>
          <w:sz w:val="22"/>
        </w:rPr>
        <w:tab/>
      </w:r>
      <w:r w:rsidR="001644CE" w:rsidRPr="00A8799B">
        <w:rPr>
          <w:sz w:val="22"/>
        </w:rPr>
        <w:t>10.3.1.1.1</w:t>
      </w:r>
    </w:p>
    <w:p w14:paraId="5DAA27F0" w14:textId="77777777" w:rsidR="00E90E49" w:rsidRPr="00A8799B" w:rsidRDefault="003D3C45" w:rsidP="00F64C2B">
      <w:pPr>
        <w:pStyle w:val="3GPPHeader"/>
        <w:rPr>
          <w:sz w:val="22"/>
        </w:rPr>
      </w:pPr>
      <w:r w:rsidRPr="00A8799B">
        <w:rPr>
          <w:sz w:val="22"/>
        </w:rPr>
        <w:t>Source:</w:t>
      </w:r>
      <w:r w:rsidR="00E90E49" w:rsidRPr="00A8799B">
        <w:rPr>
          <w:sz w:val="22"/>
        </w:rPr>
        <w:tab/>
      </w:r>
      <w:r w:rsidR="00F64C2B" w:rsidRPr="00A8799B">
        <w:rPr>
          <w:sz w:val="22"/>
        </w:rPr>
        <w:t>Ericsson</w:t>
      </w:r>
    </w:p>
    <w:p w14:paraId="63CB047E" w14:textId="72C23C61" w:rsidR="00E90E49" w:rsidRPr="00A8799B" w:rsidRDefault="003D3C45" w:rsidP="00311702">
      <w:pPr>
        <w:pStyle w:val="3GPPHeader"/>
        <w:rPr>
          <w:rFonts w:eastAsia="DengXian"/>
          <w:sz w:val="22"/>
        </w:rPr>
      </w:pPr>
      <w:r w:rsidRPr="00A8799B">
        <w:rPr>
          <w:sz w:val="22"/>
        </w:rPr>
        <w:t>Title:</w:t>
      </w:r>
      <w:r w:rsidR="00E90E49" w:rsidRPr="00A8799B">
        <w:rPr>
          <w:sz w:val="22"/>
        </w:rPr>
        <w:tab/>
      </w:r>
      <w:r w:rsidR="00D8203B" w:rsidRPr="00A8799B">
        <w:rPr>
          <w:rFonts w:eastAsia="DengXian"/>
          <w:sz w:val="22"/>
        </w:rPr>
        <w:t>RR</w:t>
      </w:r>
      <w:r w:rsidR="003D2702" w:rsidRPr="00A8799B">
        <w:rPr>
          <w:rFonts w:eastAsia="DengXian"/>
          <w:sz w:val="22"/>
        </w:rPr>
        <w:t>C Measurement report triggering</w:t>
      </w:r>
    </w:p>
    <w:p w14:paraId="65935703" w14:textId="20930076" w:rsidR="00E90E49" w:rsidRPr="00DD3821" w:rsidRDefault="00E90E49" w:rsidP="007146AF">
      <w:pPr>
        <w:pStyle w:val="3GPPHeader"/>
      </w:pPr>
      <w:r w:rsidRPr="001644CE">
        <w:rPr>
          <w:sz w:val="22"/>
        </w:rPr>
        <w:t>Document for:</w:t>
      </w:r>
      <w:r w:rsidRPr="001644CE">
        <w:rPr>
          <w:sz w:val="22"/>
        </w:rPr>
        <w:tab/>
        <w:t>Discussion</w:t>
      </w:r>
    </w:p>
    <w:p w14:paraId="51EDDA25" w14:textId="77777777" w:rsidR="00D8203B" w:rsidRDefault="00D8203B" w:rsidP="00D8203B">
      <w:pPr>
        <w:pStyle w:val="Heading1"/>
        <w:rPr>
          <w:lang w:val="en-US"/>
        </w:rPr>
      </w:pPr>
      <w:bookmarkStart w:id="1" w:name="_Ref462817227"/>
      <w:r w:rsidRPr="000744A0">
        <w:rPr>
          <w:lang w:val="en-US"/>
        </w:rPr>
        <w:t>Introduction</w:t>
      </w:r>
      <w:bookmarkEnd w:id="1"/>
    </w:p>
    <w:p w14:paraId="3DFA2F1E" w14:textId="63A083BF" w:rsidR="001644CE" w:rsidRPr="00A8799B" w:rsidRDefault="001644CE" w:rsidP="001644CE">
      <w:pPr>
        <w:jc w:val="both"/>
        <w:rPr>
          <w:rFonts w:ascii="Arial" w:hAnsi="Arial" w:cs="Arial"/>
          <w:sz w:val="20"/>
          <w:szCs w:val="20"/>
        </w:rPr>
      </w:pPr>
      <w:r w:rsidRPr="00BF1C29">
        <w:rPr>
          <w:rFonts w:ascii="Arial" w:eastAsia="MS Mincho" w:hAnsi="Arial" w:cs="Arial"/>
          <w:b/>
          <w:noProof/>
          <w:sz w:val="20"/>
          <w:szCs w:val="20"/>
          <w:highlight w:val="green"/>
          <w:u w:val="single"/>
        </w:rPr>
        <mc:AlternateContent>
          <mc:Choice Requires="wps">
            <w:drawing>
              <wp:anchor distT="45720" distB="45720" distL="114300" distR="114300" simplePos="0" relativeHeight="251659264" behindDoc="0" locked="0" layoutInCell="1" allowOverlap="1" wp14:anchorId="0154D02E" wp14:editId="1BF11227">
                <wp:simplePos x="0" y="0"/>
                <wp:positionH relativeFrom="margin">
                  <wp:align>center</wp:align>
                </wp:positionH>
                <wp:positionV relativeFrom="paragraph">
                  <wp:posOffset>788670</wp:posOffset>
                </wp:positionV>
                <wp:extent cx="6057900" cy="4572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57200"/>
                        </a:xfrm>
                        <a:prstGeom prst="rect">
                          <a:avLst/>
                        </a:prstGeom>
                        <a:solidFill>
                          <a:srgbClr val="FFFFFF"/>
                        </a:solidFill>
                        <a:ln w="9525">
                          <a:solidFill>
                            <a:srgbClr val="000000"/>
                          </a:solidFill>
                          <a:miter lim="800000"/>
                          <a:headEnd/>
                          <a:tailEnd/>
                        </a:ln>
                      </wps:spPr>
                      <wps:txbx>
                        <w:txbxContent>
                          <w:p w14:paraId="6E65113E" w14:textId="77777777" w:rsidR="001644CE" w:rsidRPr="00A8799B" w:rsidRDefault="001644CE" w:rsidP="001644CE">
                            <w:pPr>
                              <w:tabs>
                                <w:tab w:val="left" w:pos="1622"/>
                              </w:tabs>
                              <w:spacing w:after="0"/>
                              <w:rPr>
                                <w:rFonts w:eastAsia="MS Mincho"/>
                                <w:szCs w:val="24"/>
                                <w:lang w:eastAsia="ja-JP"/>
                              </w:rPr>
                            </w:pPr>
                            <w:r w:rsidRPr="00A8799B">
                              <w:rPr>
                                <w:rFonts w:eastAsia="MS Mincho"/>
                                <w:szCs w:val="24"/>
                                <w:lang w:eastAsia="ja-JP"/>
                              </w:rPr>
                              <w:t>=&gt; RAN2 understanding of the LS is that RAN1 will define some form of additional RS to be used by the UE for RRM measurements in CONNECTED in addition to the RS(s) available in idle.</w:t>
                            </w:r>
                          </w:p>
                          <w:p w14:paraId="36535EED" w14:textId="77777777" w:rsidR="001644CE" w:rsidRPr="00A8799B" w:rsidRDefault="001644CE" w:rsidP="001644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54D02E" id="_x0000_t202" coordsize="21600,21600" o:spt="202" path="m,l,21600r21600,l21600,xe">
                <v:stroke joinstyle="miter"/>
                <v:path gradientshapeok="t" o:connecttype="rect"/>
              </v:shapetype>
              <v:shape id="Text Box 2" o:spid="_x0000_s1026" type="#_x0000_t202" style="position:absolute;left:0;text-align:left;margin-left:0;margin-top:62.1pt;width:477pt;height:3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">
                <v:textbox>
                  <w:txbxContent>
                    <w:p w14:paraId="6E65113E" w14:textId="77777777" w:rsidR="001644CE" w:rsidRPr="00A8799B" w:rsidRDefault="001644CE" w:rsidP="001644CE">
                      <w:pPr>
                        <w:tabs>
                          <w:tab w:val="left" w:pos="1622"/>
                        </w:tabs>
                        <w:spacing w:after="0"/>
                        <w:rPr>
                          <w:rFonts w:eastAsia="MS Mincho"/>
                          <w:szCs w:val="24"/>
                          <w:lang w:eastAsia="ja-JP"/>
                        </w:rPr>
                      </w:pPr>
                      <w:r w:rsidRPr="00A8799B">
                        <w:rPr>
                          <w:rFonts w:eastAsia="MS Mincho"/>
                          <w:szCs w:val="24"/>
                          <w:lang w:eastAsia="ja-JP"/>
                        </w:rPr>
                        <w:t>=&gt; RAN2 understanding of the LS is that RAN1 will define some form of additional RS to be used by the UE for RRM measurements in CONNECTED in addition to the RS(s) available in idle.</w:t>
                      </w:r>
                    </w:p>
                    <w:p w14:paraId="36535EED" w14:textId="77777777" w:rsidR="001644CE" w:rsidRPr="00A8799B" w:rsidRDefault="001644CE" w:rsidP="001644CE"/>
                  </w:txbxContent>
                </v:textbox>
                <w10:wrap type="square" anchorx="margin"/>
              </v:shape>
            </w:pict>
          </mc:Fallback>
        </mc:AlternateContent>
      </w:r>
      <w:r w:rsidRPr="00A8799B">
        <w:rPr>
          <w:rFonts w:ascii="Arial" w:hAnsi="Arial" w:cs="Arial"/>
          <w:sz w:val="20"/>
          <w:szCs w:val="20"/>
        </w:rPr>
        <w:t xml:space="preserve">In RAN2#NRAdHoc meeting, in Spokane, an LS was sent from RAN1 to RAN2 stating that for CONNECTED mode RRM measurement for L3 mobility either CSI-RS and/or an additionally RS separately designed (previously called mobility RS) would be used if needed </w:t>
      </w:r>
      <w:r w:rsidRPr="00BF1C29">
        <w:rPr>
          <w:rFonts w:ascii="Arial" w:hAnsi="Arial" w:cs="Arial"/>
          <w:sz w:val="20"/>
          <w:szCs w:val="20"/>
        </w:rPr>
        <w:fldChar w:fldCharType="begin"/>
      </w:r>
      <w:r w:rsidRPr="00A8799B">
        <w:rPr>
          <w:rFonts w:ascii="Arial" w:hAnsi="Arial" w:cs="Arial"/>
          <w:sz w:val="20"/>
          <w:szCs w:val="20"/>
        </w:rPr>
        <w:instrText xml:space="preserve"> REF _Ref473822144 \n \h  \* MERGEFORMAT </w:instrText>
      </w:r>
      <w:r w:rsidRPr="00BF1C29">
        <w:rPr>
          <w:rFonts w:ascii="Arial" w:hAnsi="Arial" w:cs="Arial"/>
          <w:sz w:val="20"/>
          <w:szCs w:val="20"/>
        </w:rPr>
      </w:r>
      <w:r w:rsidRPr="00BF1C29">
        <w:rPr>
          <w:rFonts w:ascii="Arial" w:hAnsi="Arial" w:cs="Arial"/>
          <w:sz w:val="20"/>
          <w:szCs w:val="20"/>
        </w:rPr>
        <w:fldChar w:fldCharType="separate"/>
      </w:r>
      <w:r w:rsidRPr="00A8799B">
        <w:rPr>
          <w:rFonts w:ascii="Arial" w:hAnsi="Arial" w:cs="Arial"/>
          <w:sz w:val="20"/>
          <w:szCs w:val="20"/>
        </w:rPr>
        <w:t>[1]</w:t>
      </w:r>
      <w:r w:rsidRPr="00BF1C29">
        <w:rPr>
          <w:rFonts w:ascii="Arial" w:hAnsi="Arial" w:cs="Arial"/>
          <w:sz w:val="20"/>
          <w:szCs w:val="20"/>
        </w:rPr>
        <w:fldChar w:fldCharType="end"/>
      </w:r>
      <w:r w:rsidRPr="00A8799B">
        <w:rPr>
          <w:rFonts w:ascii="Arial" w:hAnsi="Arial" w:cs="Arial"/>
          <w:sz w:val="20"/>
          <w:szCs w:val="20"/>
        </w:rPr>
        <w:t xml:space="preserve">. After a discussion of what “if needed” could possibly mean, RAN2 has interpreted the agreement as follows: </w:t>
      </w:r>
    </w:p>
    <w:p w14:paraId="41EE6C7D" w14:textId="072659D1" w:rsidR="001644CE" w:rsidRPr="00A8799B" w:rsidRDefault="001644CE" w:rsidP="00420D41">
      <w:pPr>
        <w:pStyle w:val="BodyText"/>
        <w:jc w:val="both"/>
        <w:rPr>
          <w:rFonts w:ascii="Arial" w:eastAsia="MS Mincho" w:hAnsi="Arial" w:cs="Arial"/>
          <w:sz w:val="20"/>
          <w:szCs w:val="20"/>
        </w:rPr>
      </w:pPr>
      <w:r w:rsidRPr="00A8799B">
        <w:rPr>
          <w:rFonts w:ascii="Arial" w:eastAsia="MS Mincho" w:hAnsi="Arial" w:cs="Arial"/>
          <w:sz w:val="20"/>
          <w:szCs w:val="20"/>
        </w:rPr>
        <w:t xml:space="preserve">Previous contributions have addressed the implications of these assumption concerning aspects such as detection and the mapping between additional beamformed RSs and NR cells </w:t>
      </w:r>
      <w:r w:rsidRPr="00BF1C29">
        <w:rPr>
          <w:rFonts w:ascii="Arial" w:eastAsia="MS Mincho" w:hAnsi="Arial" w:cs="Arial"/>
          <w:sz w:val="20"/>
          <w:szCs w:val="20"/>
        </w:rPr>
        <w:fldChar w:fldCharType="begin"/>
      </w:r>
      <w:r w:rsidRPr="00A8799B">
        <w:rPr>
          <w:rFonts w:ascii="Arial" w:eastAsia="MS Mincho" w:hAnsi="Arial" w:cs="Arial"/>
          <w:sz w:val="20"/>
          <w:szCs w:val="20"/>
        </w:rPr>
        <w:instrText xml:space="preserve"> REF _Ref473904287 \n \h </w:instrText>
      </w:r>
      <w:r w:rsidR="00420D41" w:rsidRPr="00A8799B">
        <w:rPr>
          <w:rFonts w:ascii="Arial" w:eastAsia="MS Mincho" w:hAnsi="Arial" w:cs="Arial"/>
          <w:sz w:val="20"/>
          <w:szCs w:val="20"/>
        </w:rPr>
        <w:instrText xml:space="preserve"> \* MERGEFORMAT </w:instrText>
      </w:r>
      <w:r w:rsidRPr="00BF1C29">
        <w:rPr>
          <w:rFonts w:ascii="Arial" w:eastAsia="MS Mincho" w:hAnsi="Arial" w:cs="Arial"/>
          <w:sz w:val="20"/>
          <w:szCs w:val="20"/>
        </w:rPr>
      </w:r>
      <w:r w:rsidRPr="00BF1C29">
        <w:rPr>
          <w:rFonts w:ascii="Arial" w:eastAsia="MS Mincho" w:hAnsi="Arial" w:cs="Arial"/>
          <w:sz w:val="20"/>
          <w:szCs w:val="20"/>
        </w:rPr>
        <w:fldChar w:fldCharType="separate"/>
      </w:r>
      <w:r w:rsidRPr="00A8799B">
        <w:rPr>
          <w:rFonts w:ascii="Arial" w:eastAsia="MS Mincho" w:hAnsi="Arial" w:cs="Arial"/>
          <w:sz w:val="20"/>
          <w:szCs w:val="20"/>
        </w:rPr>
        <w:t>[2]</w:t>
      </w:r>
      <w:r w:rsidRPr="00BF1C29">
        <w:rPr>
          <w:rFonts w:ascii="Arial" w:eastAsia="MS Mincho" w:hAnsi="Arial" w:cs="Arial"/>
          <w:sz w:val="20"/>
          <w:szCs w:val="20"/>
        </w:rPr>
        <w:fldChar w:fldCharType="end"/>
      </w:r>
      <w:r w:rsidRPr="00BF1C29">
        <w:rPr>
          <w:rFonts w:ascii="Arial" w:eastAsia="MS Mincho" w:hAnsi="Arial" w:cs="Arial"/>
          <w:sz w:val="20"/>
          <w:szCs w:val="20"/>
        </w:rPr>
        <w:fldChar w:fldCharType="begin"/>
      </w:r>
      <w:r w:rsidRPr="00A8799B">
        <w:rPr>
          <w:rFonts w:ascii="Arial" w:eastAsia="MS Mincho" w:hAnsi="Arial" w:cs="Arial"/>
          <w:sz w:val="20"/>
          <w:szCs w:val="20"/>
        </w:rPr>
        <w:instrText xml:space="preserve"> REF _Ref473904289 \n \h </w:instrText>
      </w:r>
      <w:r w:rsidR="00420D41" w:rsidRPr="00A8799B">
        <w:rPr>
          <w:rFonts w:ascii="Arial" w:eastAsia="MS Mincho" w:hAnsi="Arial" w:cs="Arial"/>
          <w:sz w:val="20"/>
          <w:szCs w:val="20"/>
        </w:rPr>
        <w:instrText xml:space="preserve"> \* MERGEFORMAT </w:instrText>
      </w:r>
      <w:r w:rsidRPr="00BF1C29">
        <w:rPr>
          <w:rFonts w:ascii="Arial" w:eastAsia="MS Mincho" w:hAnsi="Arial" w:cs="Arial"/>
          <w:sz w:val="20"/>
          <w:szCs w:val="20"/>
        </w:rPr>
      </w:r>
      <w:r w:rsidRPr="00BF1C29">
        <w:rPr>
          <w:rFonts w:ascii="Arial" w:eastAsia="MS Mincho" w:hAnsi="Arial" w:cs="Arial"/>
          <w:sz w:val="20"/>
          <w:szCs w:val="20"/>
        </w:rPr>
        <w:fldChar w:fldCharType="separate"/>
      </w:r>
      <w:r w:rsidRPr="00A8799B">
        <w:rPr>
          <w:rFonts w:ascii="Arial" w:eastAsia="MS Mincho" w:hAnsi="Arial" w:cs="Arial"/>
          <w:sz w:val="20"/>
          <w:szCs w:val="20"/>
        </w:rPr>
        <w:t>[3]</w:t>
      </w:r>
      <w:r w:rsidRPr="00BF1C29">
        <w:rPr>
          <w:rFonts w:ascii="Arial" w:eastAsia="MS Mincho" w:hAnsi="Arial" w:cs="Arial"/>
          <w:sz w:val="20"/>
          <w:szCs w:val="20"/>
        </w:rPr>
        <w:fldChar w:fldCharType="end"/>
      </w:r>
      <w:r w:rsidRPr="00BF1C29">
        <w:rPr>
          <w:rFonts w:ascii="Arial" w:eastAsia="MS Mincho" w:hAnsi="Arial" w:cs="Arial"/>
          <w:sz w:val="20"/>
          <w:szCs w:val="20"/>
        </w:rPr>
        <w:fldChar w:fldCharType="begin"/>
      </w:r>
      <w:r w:rsidRPr="00A8799B">
        <w:rPr>
          <w:rFonts w:ascii="Arial" w:eastAsia="MS Mincho" w:hAnsi="Arial" w:cs="Arial"/>
          <w:sz w:val="20"/>
          <w:szCs w:val="20"/>
        </w:rPr>
        <w:instrText xml:space="preserve"> REF _Ref473904283 \n \h </w:instrText>
      </w:r>
      <w:r w:rsidR="00420D41" w:rsidRPr="00A8799B">
        <w:rPr>
          <w:rFonts w:ascii="Arial" w:eastAsia="MS Mincho" w:hAnsi="Arial" w:cs="Arial"/>
          <w:sz w:val="20"/>
          <w:szCs w:val="20"/>
        </w:rPr>
        <w:instrText xml:space="preserve"> \* MERGEFORMAT </w:instrText>
      </w:r>
      <w:r w:rsidRPr="00BF1C29">
        <w:rPr>
          <w:rFonts w:ascii="Arial" w:eastAsia="MS Mincho" w:hAnsi="Arial" w:cs="Arial"/>
          <w:sz w:val="20"/>
          <w:szCs w:val="20"/>
        </w:rPr>
      </w:r>
      <w:r w:rsidRPr="00BF1C29">
        <w:rPr>
          <w:rFonts w:ascii="Arial" w:eastAsia="MS Mincho" w:hAnsi="Arial" w:cs="Arial"/>
          <w:sz w:val="20"/>
          <w:szCs w:val="20"/>
        </w:rPr>
        <w:fldChar w:fldCharType="separate"/>
      </w:r>
      <w:r w:rsidRPr="00A8799B">
        <w:rPr>
          <w:rFonts w:ascii="Arial" w:eastAsia="MS Mincho" w:hAnsi="Arial" w:cs="Arial"/>
          <w:sz w:val="20"/>
          <w:szCs w:val="20"/>
        </w:rPr>
        <w:t>[4]</w:t>
      </w:r>
      <w:r w:rsidRPr="00BF1C29">
        <w:rPr>
          <w:rFonts w:ascii="Arial" w:eastAsia="MS Mincho" w:hAnsi="Arial" w:cs="Arial"/>
          <w:sz w:val="20"/>
          <w:szCs w:val="20"/>
        </w:rPr>
        <w:fldChar w:fldCharType="end"/>
      </w:r>
      <w:r w:rsidRPr="00A8799B">
        <w:rPr>
          <w:rFonts w:ascii="Arial" w:eastAsia="MS Mincho" w:hAnsi="Arial" w:cs="Arial"/>
          <w:sz w:val="20"/>
          <w:szCs w:val="20"/>
        </w:rPr>
        <w:t>.</w:t>
      </w:r>
    </w:p>
    <w:p w14:paraId="25C370C9" w14:textId="4DD4F162" w:rsidR="001644CE" w:rsidRPr="00A8799B" w:rsidRDefault="001644CE" w:rsidP="00420D41">
      <w:pPr>
        <w:jc w:val="both"/>
        <w:rPr>
          <w:rFonts w:ascii="Arial" w:hAnsi="Arial" w:cs="Arial"/>
          <w:sz w:val="20"/>
          <w:szCs w:val="20"/>
        </w:rPr>
      </w:pPr>
      <w:r w:rsidRPr="00A8799B">
        <w:rPr>
          <w:rFonts w:ascii="Arial" w:hAnsi="Arial" w:cs="Arial"/>
          <w:sz w:val="20"/>
          <w:szCs w:val="20"/>
        </w:rPr>
        <w:t xml:space="preserve">In RAN2#96 the following agreements have been made concerning measurement reports in NR for RRC_CONNECTED UEs: </w:t>
      </w:r>
    </w:p>
    <w:p w14:paraId="55CA88CA" w14:textId="77777777" w:rsidR="001644CE" w:rsidRPr="00A8799B"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A8799B">
        <w:rPr>
          <w:rFonts w:ascii="Arial" w:hAnsi="Arial" w:cs="Arial"/>
          <w:sz w:val="20"/>
          <w:szCs w:val="20"/>
        </w:rPr>
        <w:t>1</w:t>
      </w:r>
      <w:r w:rsidRPr="00A8799B">
        <w:rPr>
          <w:rFonts w:ascii="Arial" w:hAnsi="Arial" w:cs="Arial"/>
          <w:sz w:val="20"/>
          <w:szCs w:val="20"/>
        </w:rPr>
        <w:tab/>
        <w:t>At least events like LTE A1-A6 and periodic will be supported for NR (modification to the events may be considered)</w:t>
      </w:r>
    </w:p>
    <w:p w14:paraId="55EE88F2" w14:textId="77777777" w:rsidR="001644CE" w:rsidRPr="00A8799B"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A8799B">
        <w:rPr>
          <w:rFonts w:ascii="Arial" w:hAnsi="Arial" w:cs="Arial"/>
          <w:sz w:val="20"/>
          <w:szCs w:val="20"/>
        </w:rPr>
        <w:t>FFS other events may be studied</w:t>
      </w:r>
    </w:p>
    <w:p w14:paraId="50CC511D" w14:textId="7C3F509D" w:rsidR="001644CE" w:rsidRPr="00A8799B" w:rsidRDefault="0003488A"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A8799B">
        <w:rPr>
          <w:rFonts w:ascii="Arial" w:hAnsi="Arial" w:cs="Arial"/>
          <w:sz w:val="20"/>
          <w:szCs w:val="20"/>
        </w:rPr>
        <w:t>…</w:t>
      </w:r>
    </w:p>
    <w:p w14:paraId="49509C60" w14:textId="77777777" w:rsidR="001644CE" w:rsidRPr="00A8799B" w:rsidRDefault="001644CE" w:rsidP="001644CE">
      <w:pPr>
        <w:pStyle w:val="Doc-text2"/>
        <w:rPr>
          <w:rFonts w:ascii="Arial" w:hAnsi="Arial" w:cs="Arial"/>
          <w:sz w:val="20"/>
          <w:szCs w:val="20"/>
        </w:rPr>
      </w:pPr>
    </w:p>
    <w:p w14:paraId="2B1576EC" w14:textId="0FAAC2E6" w:rsidR="00D8203B" w:rsidRPr="00A8799B" w:rsidRDefault="00420D41" w:rsidP="00420D41">
      <w:pPr>
        <w:pStyle w:val="BodyText"/>
        <w:jc w:val="both"/>
        <w:rPr>
          <w:rFonts w:ascii="Arial" w:eastAsia="MS Mincho" w:hAnsi="Arial" w:cs="Arial"/>
          <w:sz w:val="20"/>
          <w:szCs w:val="20"/>
        </w:rPr>
      </w:pPr>
      <w:r w:rsidRPr="00A8799B">
        <w:rPr>
          <w:rFonts w:ascii="Arial" w:eastAsia="MS Mincho" w:hAnsi="Arial" w:cs="Arial"/>
          <w:sz w:val="20"/>
          <w:szCs w:val="20"/>
        </w:rPr>
        <w:t xml:space="preserve">In this paper we revisit the discussion on </w:t>
      </w:r>
      <w:r w:rsidRPr="00A8799B">
        <w:rPr>
          <w:rFonts w:ascii="Arial" w:hAnsi="Arial" w:cs="Arial"/>
          <w:sz w:val="20"/>
          <w:szCs w:val="20"/>
        </w:rPr>
        <w:t xml:space="preserve">NR measurement report triggering criteria associated to the different mobility events under the </w:t>
      </w:r>
      <w:r w:rsidR="001644CE" w:rsidRPr="00A8799B">
        <w:rPr>
          <w:rFonts w:ascii="Arial" w:eastAsia="MS Mincho" w:hAnsi="Arial" w:cs="Arial"/>
          <w:sz w:val="20"/>
          <w:szCs w:val="20"/>
        </w:rPr>
        <w:t xml:space="preserve">assumption that the UE can either perform RRM measurements based on IDLE RS </w:t>
      </w:r>
      <w:r w:rsidRPr="00A8799B">
        <w:rPr>
          <w:rFonts w:ascii="Arial" w:eastAsia="MS Mincho" w:hAnsi="Arial" w:cs="Arial"/>
          <w:sz w:val="20"/>
          <w:szCs w:val="20"/>
        </w:rPr>
        <w:t xml:space="preserve">or </w:t>
      </w:r>
      <w:r w:rsidR="001644CE" w:rsidRPr="00A8799B">
        <w:rPr>
          <w:rFonts w:ascii="Arial" w:eastAsia="MS Mincho" w:hAnsi="Arial" w:cs="Arial"/>
          <w:sz w:val="20"/>
          <w:szCs w:val="20"/>
        </w:rPr>
        <w:t>additional RS</w:t>
      </w:r>
      <w:r w:rsidR="003D2702" w:rsidRPr="00A8799B">
        <w:rPr>
          <w:rFonts w:ascii="Arial" w:hAnsi="Arial" w:cs="Arial"/>
          <w:sz w:val="20"/>
          <w:szCs w:val="20"/>
        </w:rPr>
        <w:t>.</w:t>
      </w:r>
      <w:r w:rsidRPr="00A8799B">
        <w:rPr>
          <w:rFonts w:ascii="Arial" w:hAnsi="Arial" w:cs="Arial"/>
          <w:sz w:val="20"/>
          <w:szCs w:val="20"/>
        </w:rPr>
        <w:t xml:space="preserve"> We particularly discuss the way the beams (or to be more precisely, the additional RS) can be grouped per mobility event.</w:t>
      </w:r>
    </w:p>
    <w:p w14:paraId="55141043" w14:textId="77777777" w:rsidR="00D8203B" w:rsidRPr="00915B44" w:rsidRDefault="00D8203B" w:rsidP="00D8203B">
      <w:pPr>
        <w:pStyle w:val="Heading1"/>
        <w:rPr>
          <w:lang w:val="en-US"/>
        </w:rPr>
      </w:pPr>
      <w:bookmarkStart w:id="2" w:name="_Ref178064866"/>
      <w:bookmarkStart w:id="3" w:name="_Ref462918989"/>
      <w:r w:rsidRPr="000744A0">
        <w:rPr>
          <w:lang w:val="en-US"/>
        </w:rPr>
        <w:lastRenderedPageBreak/>
        <w:t>D</w:t>
      </w:r>
      <w:r>
        <w:rPr>
          <w:lang w:val="en-US"/>
        </w:rPr>
        <w:t>iscussion</w:t>
      </w:r>
      <w:bookmarkEnd w:id="2"/>
    </w:p>
    <w:p w14:paraId="7DC0B42D" w14:textId="0FDE45A7" w:rsidR="00D8203B" w:rsidRPr="00915B44" w:rsidRDefault="007A67EE" w:rsidP="00D8203B">
      <w:pPr>
        <w:pStyle w:val="Heading2"/>
        <w:rPr>
          <w:lang w:val="en-US"/>
        </w:rPr>
      </w:pPr>
      <w:r>
        <w:rPr>
          <w:lang w:val="en-US"/>
        </w:rPr>
        <w:t>T</w:t>
      </w:r>
      <w:r w:rsidR="00D8203B">
        <w:rPr>
          <w:lang w:val="en-US"/>
        </w:rPr>
        <w:t xml:space="preserve">riggering criteria </w:t>
      </w:r>
      <w:r>
        <w:rPr>
          <w:lang w:val="en-US"/>
        </w:rPr>
        <w:t>and mobility events</w:t>
      </w:r>
    </w:p>
    <w:p w14:paraId="64CD1A62" w14:textId="46F6341A" w:rsidR="00D8203B" w:rsidRPr="0081055B" w:rsidRDefault="00D8203B" w:rsidP="00D8203B">
      <w:pPr>
        <w:pStyle w:val="TOC1"/>
        <w:ind w:left="0" w:firstLine="0"/>
        <w:jc w:val="both"/>
        <w:rPr>
          <w:rFonts w:cs="Arial"/>
          <w:b w:val="0"/>
          <w:kern w:val="2"/>
          <w:szCs w:val="20"/>
        </w:rPr>
      </w:pPr>
      <w:r w:rsidRPr="0081055B">
        <w:rPr>
          <w:rFonts w:cs="Arial"/>
          <w:b w:val="0"/>
          <w:kern w:val="2"/>
          <w:szCs w:val="20"/>
        </w:rPr>
        <w:t xml:space="preserve">In LTE, RRM measurements are triggered and reported by the UE to the serving cell so the nework has the ability to detect </w:t>
      </w:r>
      <w:r w:rsidR="003207D7">
        <w:rPr>
          <w:rFonts w:cs="Arial"/>
          <w:b w:val="0"/>
          <w:kern w:val="2"/>
          <w:szCs w:val="20"/>
        </w:rPr>
        <w:t xml:space="preserve">significant changes in the radio environment. One example is </w:t>
      </w:r>
      <w:r w:rsidRPr="0081055B">
        <w:rPr>
          <w:rFonts w:cs="Arial"/>
          <w:b w:val="0"/>
          <w:kern w:val="2"/>
          <w:szCs w:val="20"/>
        </w:rPr>
        <w:t xml:space="preserve">that a given neighbour cell </w:t>
      </w:r>
      <w:r w:rsidR="003207D7">
        <w:rPr>
          <w:rFonts w:cs="Arial"/>
          <w:b w:val="0"/>
          <w:kern w:val="2"/>
          <w:szCs w:val="20"/>
        </w:rPr>
        <w:t xml:space="preserve">detected by the </w:t>
      </w:r>
      <w:r w:rsidRPr="0081055B">
        <w:rPr>
          <w:rFonts w:cs="Arial"/>
          <w:b w:val="0"/>
          <w:kern w:val="2"/>
          <w:szCs w:val="20"/>
        </w:rPr>
        <w:t xml:space="preserve">UE </w:t>
      </w:r>
      <w:r w:rsidR="003207D7">
        <w:rPr>
          <w:rFonts w:cs="Arial"/>
          <w:b w:val="0"/>
          <w:kern w:val="2"/>
          <w:szCs w:val="20"/>
        </w:rPr>
        <w:t>provides</w:t>
      </w:r>
      <w:r w:rsidRPr="0081055B">
        <w:rPr>
          <w:rFonts w:cs="Arial"/>
          <w:b w:val="0"/>
          <w:kern w:val="2"/>
          <w:szCs w:val="20"/>
        </w:rPr>
        <w:t xml:space="preserve"> better radio conditions than the current serving cell. Measurements thesholds are configured </w:t>
      </w:r>
      <w:r w:rsidR="003207D7">
        <w:rPr>
          <w:rFonts w:cs="Arial"/>
          <w:b w:val="0"/>
          <w:kern w:val="2"/>
          <w:szCs w:val="20"/>
        </w:rPr>
        <w:t xml:space="preserve">in </w:t>
      </w:r>
      <w:r w:rsidRPr="0081055B">
        <w:rPr>
          <w:rFonts w:cs="Arial"/>
          <w:b w:val="0"/>
          <w:kern w:val="2"/>
          <w:szCs w:val="20"/>
        </w:rPr>
        <w:t xml:space="preserve">such a way that the UE </w:t>
      </w:r>
      <w:r w:rsidR="003207D7">
        <w:rPr>
          <w:rFonts w:cs="Arial"/>
          <w:b w:val="0"/>
          <w:kern w:val="2"/>
          <w:szCs w:val="20"/>
        </w:rPr>
        <w:t xml:space="preserve">trigger a </w:t>
      </w:r>
      <w:r w:rsidRPr="0081055B">
        <w:rPr>
          <w:rFonts w:cs="Arial"/>
          <w:b w:val="0"/>
          <w:kern w:val="2"/>
          <w:szCs w:val="20"/>
        </w:rPr>
        <w:t xml:space="preserve">report </w:t>
      </w:r>
      <w:r w:rsidR="003207D7">
        <w:rPr>
          <w:rFonts w:cs="Arial"/>
          <w:b w:val="0"/>
          <w:kern w:val="2"/>
          <w:szCs w:val="20"/>
        </w:rPr>
        <w:t>so</w:t>
      </w:r>
      <w:r w:rsidRPr="0081055B">
        <w:rPr>
          <w:rFonts w:cs="Arial"/>
          <w:b w:val="0"/>
          <w:kern w:val="2"/>
          <w:szCs w:val="20"/>
        </w:rPr>
        <w:t xml:space="preserve"> the network can take a handover decision without the SINR being degraded to an unnaceptable level but not too soon, otherwise that would generate too much unecess</w:t>
      </w:r>
      <w:r w:rsidR="00A8799B">
        <w:rPr>
          <w:rFonts w:cs="Arial"/>
          <w:b w:val="0"/>
          <w:kern w:val="2"/>
          <w:szCs w:val="20"/>
        </w:rPr>
        <w:t>a</w:t>
      </w:r>
      <w:r w:rsidRPr="0081055B">
        <w:rPr>
          <w:rFonts w:cs="Arial"/>
          <w:b w:val="0"/>
          <w:kern w:val="2"/>
          <w:szCs w:val="20"/>
        </w:rPr>
        <w:t>ry RRC signalling. The trig</w:t>
      </w:r>
      <w:r w:rsidR="00A8799B">
        <w:rPr>
          <w:rFonts w:cs="Arial"/>
          <w:b w:val="0"/>
          <w:kern w:val="2"/>
          <w:szCs w:val="20"/>
        </w:rPr>
        <w:t>g</w:t>
      </w:r>
      <w:r w:rsidRPr="0081055B">
        <w:rPr>
          <w:rFonts w:cs="Arial"/>
          <w:b w:val="0"/>
          <w:kern w:val="2"/>
          <w:szCs w:val="20"/>
        </w:rPr>
        <w:t xml:space="preserve">ering mechanism in LTE is based on the </w:t>
      </w:r>
      <w:r w:rsidR="00A8799B">
        <w:rPr>
          <w:rFonts w:cs="Arial"/>
          <w:b w:val="0"/>
          <w:kern w:val="2"/>
          <w:szCs w:val="20"/>
        </w:rPr>
        <w:t xml:space="preserve">signal strength or </w:t>
      </w:r>
      <w:r w:rsidRPr="0081055B">
        <w:rPr>
          <w:rFonts w:cs="Arial"/>
          <w:b w:val="0"/>
          <w:kern w:val="2"/>
          <w:szCs w:val="20"/>
        </w:rPr>
        <w:t xml:space="preserve">quality of </w:t>
      </w:r>
      <w:r w:rsidR="00A8799B">
        <w:rPr>
          <w:rFonts w:cs="Arial"/>
          <w:b w:val="0"/>
          <w:kern w:val="2"/>
          <w:szCs w:val="20"/>
        </w:rPr>
        <w:t xml:space="preserve">the </w:t>
      </w:r>
      <w:r w:rsidR="00F16C19">
        <w:rPr>
          <w:rFonts w:cs="Arial"/>
          <w:b w:val="0"/>
          <w:kern w:val="2"/>
          <w:szCs w:val="20"/>
        </w:rPr>
        <w:t>CRS</w:t>
      </w:r>
      <w:r w:rsidRPr="0081055B">
        <w:rPr>
          <w:rFonts w:cs="Arial"/>
          <w:b w:val="0"/>
          <w:kern w:val="2"/>
          <w:szCs w:val="20"/>
        </w:rPr>
        <w:t xml:space="preserve">. Once </w:t>
      </w:r>
      <w:r w:rsidR="00A8799B">
        <w:rPr>
          <w:rFonts w:cs="Arial"/>
          <w:b w:val="0"/>
          <w:kern w:val="2"/>
          <w:szCs w:val="20"/>
        </w:rPr>
        <w:t xml:space="preserve">the measurement has been </w:t>
      </w:r>
      <w:r w:rsidRPr="0081055B">
        <w:rPr>
          <w:rFonts w:cs="Arial"/>
          <w:b w:val="0"/>
          <w:kern w:val="2"/>
          <w:szCs w:val="20"/>
        </w:rPr>
        <w:t xml:space="preserve">reported the network has the </w:t>
      </w:r>
      <w:r w:rsidR="00A8799B">
        <w:rPr>
          <w:rFonts w:cs="Arial"/>
          <w:b w:val="0"/>
          <w:kern w:val="2"/>
          <w:szCs w:val="20"/>
        </w:rPr>
        <w:t xml:space="preserve">possibility </w:t>
      </w:r>
      <w:r w:rsidRPr="0081055B">
        <w:rPr>
          <w:rFonts w:cs="Arial"/>
          <w:b w:val="0"/>
          <w:kern w:val="2"/>
          <w:szCs w:val="20"/>
        </w:rPr>
        <w:t xml:space="preserve">to decide </w:t>
      </w:r>
      <w:r w:rsidR="00A8799B">
        <w:rPr>
          <w:rFonts w:cs="Arial"/>
          <w:b w:val="0"/>
          <w:kern w:val="2"/>
          <w:szCs w:val="20"/>
        </w:rPr>
        <w:t xml:space="preserve">if </w:t>
      </w:r>
      <w:r w:rsidRPr="0081055B">
        <w:rPr>
          <w:rFonts w:cs="Arial"/>
          <w:b w:val="0"/>
          <w:kern w:val="2"/>
          <w:szCs w:val="20"/>
        </w:rPr>
        <w:t xml:space="preserve">the </w:t>
      </w:r>
      <w:r w:rsidR="00A8799B">
        <w:rPr>
          <w:rFonts w:cs="Arial"/>
          <w:b w:val="0"/>
          <w:kern w:val="2"/>
          <w:szCs w:val="20"/>
        </w:rPr>
        <w:t xml:space="preserve">UE should be handed over </w:t>
      </w:r>
      <w:r w:rsidRPr="0081055B">
        <w:rPr>
          <w:rFonts w:cs="Arial"/>
          <w:b w:val="0"/>
          <w:kern w:val="2"/>
          <w:szCs w:val="20"/>
        </w:rPr>
        <w:t xml:space="preserve">from one cell to another. The RRM measurements should reflect the quality of the cell candidates </w:t>
      </w:r>
      <w:r w:rsidR="00F16C19">
        <w:rPr>
          <w:rFonts w:cs="Arial"/>
          <w:b w:val="0"/>
          <w:kern w:val="2"/>
          <w:szCs w:val="20"/>
        </w:rPr>
        <w:t xml:space="preserve">so </w:t>
      </w:r>
      <w:r w:rsidRPr="0081055B">
        <w:rPr>
          <w:rFonts w:cs="Arial"/>
          <w:b w:val="0"/>
          <w:kern w:val="2"/>
          <w:szCs w:val="20"/>
        </w:rPr>
        <w:t>handover</w:t>
      </w:r>
      <w:r w:rsidR="00F16C19">
        <w:rPr>
          <w:rFonts w:cs="Arial"/>
          <w:b w:val="0"/>
          <w:kern w:val="2"/>
          <w:szCs w:val="20"/>
        </w:rPr>
        <w:t>s</w:t>
      </w:r>
      <w:r w:rsidRPr="0081055B">
        <w:rPr>
          <w:rFonts w:cs="Arial"/>
          <w:b w:val="0"/>
          <w:kern w:val="2"/>
          <w:szCs w:val="20"/>
        </w:rPr>
        <w:t xml:space="preserve"> </w:t>
      </w:r>
      <w:r w:rsidR="00F16C19">
        <w:rPr>
          <w:rFonts w:cs="Arial"/>
          <w:b w:val="0"/>
          <w:kern w:val="2"/>
          <w:szCs w:val="20"/>
        </w:rPr>
        <w:t xml:space="preserve">can </w:t>
      </w:r>
      <w:r w:rsidRPr="0081055B">
        <w:rPr>
          <w:rFonts w:cs="Arial"/>
          <w:b w:val="0"/>
          <w:kern w:val="2"/>
          <w:szCs w:val="20"/>
        </w:rPr>
        <w:t>be possibly performed.</w:t>
      </w:r>
    </w:p>
    <w:p w14:paraId="12F5C71F" w14:textId="6E39B650" w:rsidR="00955BA6" w:rsidRDefault="00D8203B" w:rsidP="00D8203B">
      <w:pPr>
        <w:pStyle w:val="TOC1"/>
        <w:ind w:left="0" w:firstLine="0"/>
        <w:jc w:val="both"/>
        <w:rPr>
          <w:rFonts w:cs="Arial"/>
          <w:b w:val="0"/>
          <w:kern w:val="2"/>
          <w:szCs w:val="20"/>
        </w:rPr>
      </w:pPr>
      <w:r w:rsidRPr="00F16C19">
        <w:rPr>
          <w:rFonts w:cs="Arial"/>
          <w:b w:val="0"/>
          <w:kern w:val="2"/>
          <w:szCs w:val="20"/>
        </w:rPr>
        <w:t xml:space="preserve">In NR, according to the latest </w:t>
      </w:r>
      <w:r w:rsidR="00F16C19" w:rsidRPr="00F16C19">
        <w:rPr>
          <w:rFonts w:cs="Arial"/>
          <w:b w:val="0"/>
          <w:kern w:val="2"/>
          <w:szCs w:val="20"/>
        </w:rPr>
        <w:t xml:space="preserve">RAN1 </w:t>
      </w:r>
      <w:r w:rsidRPr="00F16C19">
        <w:rPr>
          <w:rFonts w:cs="Arial"/>
          <w:b w:val="0"/>
          <w:kern w:val="2"/>
          <w:szCs w:val="20"/>
        </w:rPr>
        <w:t xml:space="preserve">agreement, an RRC_CONNECTED UE will </w:t>
      </w:r>
      <w:r w:rsidR="00F16C19" w:rsidRPr="00F16C19">
        <w:rPr>
          <w:rFonts w:cs="Arial"/>
          <w:b w:val="0"/>
          <w:kern w:val="2"/>
          <w:szCs w:val="20"/>
        </w:rPr>
        <w:t>at least be able to measure an  IDLE RS, defined as the synchronization sequence (NR-SS), and possibly an additional DMRS for PBCH. There is a common understanding that in higher frequencies the NR-SS would be transmitted in multiple beams. However, since the NR-SS encodes a cell ID, as also agreed in RAN1, the network should be a</w:t>
      </w:r>
      <w:r w:rsidR="00A8799B">
        <w:rPr>
          <w:rFonts w:cs="Arial"/>
          <w:b w:val="0"/>
          <w:kern w:val="2"/>
          <w:szCs w:val="20"/>
        </w:rPr>
        <w:t>b</w:t>
      </w:r>
      <w:r w:rsidR="00F16C19" w:rsidRPr="00F16C19">
        <w:rPr>
          <w:rFonts w:cs="Arial"/>
          <w:b w:val="0"/>
          <w:kern w:val="2"/>
          <w:szCs w:val="20"/>
        </w:rPr>
        <w:t>le to configure the UE with events A1-A6 as in LTE at least for the IDLE RS so the UE can trigger cell-based measurement reports in RRC_CONNECTED. For a discus</w:t>
      </w:r>
      <w:r w:rsidR="00A8799B">
        <w:rPr>
          <w:rFonts w:cs="Arial"/>
          <w:b w:val="0"/>
          <w:kern w:val="2"/>
          <w:szCs w:val="20"/>
        </w:rPr>
        <w:t>s</w:t>
      </w:r>
      <w:r w:rsidR="00F16C19" w:rsidRPr="00F16C19">
        <w:rPr>
          <w:rFonts w:cs="Arial"/>
          <w:b w:val="0"/>
          <w:kern w:val="2"/>
          <w:szCs w:val="20"/>
        </w:rPr>
        <w:t xml:space="preserve">ion on the scenarios where this configuration could be sufficient, see </w:t>
      </w:r>
      <w:r w:rsidR="00F16C19" w:rsidRPr="00F16C19">
        <w:rPr>
          <w:rFonts w:eastAsia="MS Mincho"/>
          <w:b w:val="0"/>
        </w:rPr>
        <w:fldChar w:fldCharType="begin"/>
      </w:r>
      <w:r w:rsidR="00F16C19" w:rsidRPr="00F16C19">
        <w:rPr>
          <w:rFonts w:eastAsia="MS Mincho"/>
          <w:b w:val="0"/>
        </w:rPr>
        <w:instrText xml:space="preserve"> REF _Ref473904287 \n \h  \* MERGEFORMAT </w:instrText>
      </w:r>
      <w:r w:rsidR="00F16C19" w:rsidRPr="00F16C19">
        <w:rPr>
          <w:rFonts w:eastAsia="MS Mincho"/>
          <w:b w:val="0"/>
        </w:rPr>
      </w:r>
      <w:r w:rsidR="00F16C19" w:rsidRPr="00F16C19">
        <w:rPr>
          <w:rFonts w:eastAsia="MS Mincho"/>
          <w:b w:val="0"/>
        </w:rPr>
        <w:fldChar w:fldCharType="separate"/>
      </w:r>
      <w:r w:rsidR="00F16C19" w:rsidRPr="00F16C19">
        <w:rPr>
          <w:rFonts w:eastAsia="MS Mincho"/>
          <w:b w:val="0"/>
        </w:rPr>
        <w:t>[2]</w:t>
      </w:r>
      <w:r w:rsidR="00F16C19" w:rsidRPr="00F16C19">
        <w:rPr>
          <w:rFonts w:eastAsia="MS Mincho"/>
          <w:b w:val="0"/>
        </w:rPr>
        <w:fldChar w:fldCharType="end"/>
      </w:r>
      <w:r w:rsidR="00F16C19">
        <w:rPr>
          <w:rFonts w:cs="Arial"/>
          <w:b w:val="0"/>
          <w:kern w:val="2"/>
          <w:szCs w:val="20"/>
        </w:rPr>
        <w:t>.</w:t>
      </w:r>
    </w:p>
    <w:p w14:paraId="7745AA81" w14:textId="77777777" w:rsidR="00573931" w:rsidRPr="00A8799B" w:rsidRDefault="00573931" w:rsidP="00F16C19">
      <w:pPr>
        <w:pStyle w:val="Proposal"/>
        <w:tabs>
          <w:tab w:val="num" w:pos="1304"/>
        </w:tabs>
        <w:rPr>
          <w:rFonts w:ascii="Arial" w:hAnsi="Arial" w:cs="Arial"/>
          <w:sz w:val="20"/>
          <w:szCs w:val="20"/>
        </w:rPr>
      </w:pPr>
      <w:r w:rsidRPr="00A8799B">
        <w:rPr>
          <w:rFonts w:ascii="Arial" w:hAnsi="Arial" w:cs="Arial"/>
          <w:sz w:val="20"/>
          <w:szCs w:val="20"/>
        </w:rPr>
        <w:t>Network should be able to configure the UE with mobility events A1-A6 at least associated to the IDLE RS</w:t>
      </w:r>
    </w:p>
    <w:p w14:paraId="7BF6FE15" w14:textId="77777777" w:rsidR="00F16C19" w:rsidRDefault="00F16C19" w:rsidP="00D8203B">
      <w:pPr>
        <w:pStyle w:val="TOC1"/>
        <w:ind w:left="0" w:firstLine="0"/>
        <w:jc w:val="both"/>
        <w:rPr>
          <w:rFonts w:cs="Arial"/>
          <w:b w:val="0"/>
          <w:kern w:val="2"/>
          <w:szCs w:val="20"/>
        </w:rPr>
      </w:pPr>
    </w:p>
    <w:p w14:paraId="01A4703E" w14:textId="48FC9B5B" w:rsidR="00D8203B" w:rsidRDefault="00573931" w:rsidP="00D8203B">
      <w:pPr>
        <w:pStyle w:val="TOC1"/>
        <w:ind w:left="0" w:firstLine="0"/>
        <w:jc w:val="both"/>
        <w:rPr>
          <w:rFonts w:cs="Arial"/>
          <w:b w:val="0"/>
          <w:kern w:val="2"/>
          <w:szCs w:val="20"/>
        </w:rPr>
      </w:pPr>
      <w:r>
        <w:rPr>
          <w:rFonts w:cs="Arial"/>
          <w:b w:val="0"/>
          <w:kern w:val="2"/>
          <w:szCs w:val="20"/>
        </w:rPr>
        <w:t xml:space="preserve">When it comes to the additonal RS, further analyses </w:t>
      </w:r>
      <w:r w:rsidR="009C7536">
        <w:rPr>
          <w:rFonts w:cs="Arial"/>
          <w:b w:val="0"/>
          <w:kern w:val="2"/>
          <w:szCs w:val="20"/>
        </w:rPr>
        <w:t xml:space="preserve">are necessary based on the outcome of the </w:t>
      </w:r>
      <w:r>
        <w:rPr>
          <w:rFonts w:cs="Arial"/>
          <w:b w:val="0"/>
          <w:kern w:val="2"/>
          <w:szCs w:val="20"/>
        </w:rPr>
        <w:t>discussion</w:t>
      </w:r>
      <w:r w:rsidR="009C7536">
        <w:rPr>
          <w:rFonts w:cs="Arial"/>
          <w:b w:val="0"/>
          <w:kern w:val="2"/>
          <w:szCs w:val="20"/>
        </w:rPr>
        <w:t>s</w:t>
      </w:r>
      <w:r>
        <w:rPr>
          <w:rFonts w:cs="Arial"/>
          <w:b w:val="0"/>
          <w:kern w:val="2"/>
          <w:szCs w:val="20"/>
        </w:rPr>
        <w:t xml:space="preserve"> on how to map the beamformed additional RSs to cells in NR. </w:t>
      </w:r>
      <w:r w:rsidR="009C7536">
        <w:rPr>
          <w:rFonts w:cs="Arial"/>
          <w:b w:val="0"/>
          <w:kern w:val="2"/>
          <w:szCs w:val="20"/>
        </w:rPr>
        <w:t xml:space="preserve">If we assume, for example, that this RS can be quite flexibly configured as </w:t>
      </w:r>
      <w:r w:rsidR="00A8799B">
        <w:rPr>
          <w:rFonts w:cs="Arial"/>
          <w:b w:val="0"/>
          <w:kern w:val="2"/>
          <w:szCs w:val="20"/>
        </w:rPr>
        <w:t xml:space="preserve">,e.g., </w:t>
      </w:r>
      <w:r w:rsidR="009C7536">
        <w:rPr>
          <w:rFonts w:cs="Arial"/>
          <w:b w:val="0"/>
          <w:kern w:val="2"/>
          <w:szCs w:val="20"/>
        </w:rPr>
        <w:t xml:space="preserve">a CSI-RS in LTE, it is not certain that the same discussion we have had for measurement events only per cell applies any longer. In fact, in LTE, the network can configure the UE with additional mobility events (C1 and C2) for a different RS which is not the CRS (primarilly used for RRC based mobility) although the purpose might not be for mobility. Hence, the assumption that </w:t>
      </w:r>
      <w:r w:rsidR="00955BA6">
        <w:rPr>
          <w:rFonts w:cs="Arial"/>
          <w:b w:val="0"/>
          <w:kern w:val="2"/>
          <w:szCs w:val="20"/>
        </w:rPr>
        <w:t>a modified version of A1-A6</w:t>
      </w:r>
      <w:r w:rsidR="009C7536">
        <w:rPr>
          <w:rFonts w:cs="Arial"/>
          <w:b w:val="0"/>
          <w:kern w:val="2"/>
          <w:szCs w:val="20"/>
        </w:rPr>
        <w:t xml:space="preserve"> events would be defined for the additional RS would be </w:t>
      </w:r>
      <w:r w:rsidR="00955BA6">
        <w:rPr>
          <w:rFonts w:cs="Arial"/>
          <w:b w:val="0"/>
          <w:kern w:val="2"/>
          <w:szCs w:val="20"/>
        </w:rPr>
        <w:t>a natural extension, although further details needs to be discuss whether the exact same events would apply.</w:t>
      </w:r>
    </w:p>
    <w:p w14:paraId="0A03EE49" w14:textId="77777777" w:rsidR="00955BA6" w:rsidRPr="00573931" w:rsidRDefault="00955BA6" w:rsidP="00D8203B">
      <w:pPr>
        <w:pStyle w:val="TOC1"/>
        <w:ind w:left="0" w:firstLine="0"/>
        <w:jc w:val="both"/>
        <w:rPr>
          <w:rFonts w:cs="Arial"/>
          <w:b w:val="0"/>
          <w:kern w:val="2"/>
          <w:szCs w:val="20"/>
        </w:rPr>
      </w:pPr>
    </w:p>
    <w:p w14:paraId="684443C6" w14:textId="7F42775F" w:rsidR="009C7536" w:rsidRDefault="009C7536" w:rsidP="009C7536">
      <w:pPr>
        <w:pStyle w:val="Proposal"/>
        <w:tabs>
          <w:tab w:val="num" w:pos="1304"/>
        </w:tabs>
        <w:rPr>
          <w:rFonts w:ascii="Arial" w:hAnsi="Arial" w:cs="Arial"/>
          <w:sz w:val="20"/>
          <w:szCs w:val="20"/>
        </w:rPr>
      </w:pPr>
      <w:r w:rsidRPr="00A8799B">
        <w:rPr>
          <w:rFonts w:ascii="Arial" w:hAnsi="Arial" w:cs="Arial"/>
          <w:sz w:val="20"/>
          <w:szCs w:val="20"/>
        </w:rPr>
        <w:t xml:space="preserve">Network should be able to configure the UE with mobility events </w:t>
      </w:r>
      <w:r w:rsidR="00955BA6" w:rsidRPr="00A8799B">
        <w:rPr>
          <w:rFonts w:ascii="Arial" w:hAnsi="Arial" w:cs="Arial"/>
          <w:sz w:val="20"/>
          <w:szCs w:val="20"/>
        </w:rPr>
        <w:t xml:space="preserve">per beam (based on individual </w:t>
      </w:r>
      <w:r w:rsidRPr="00A8799B">
        <w:rPr>
          <w:rFonts w:ascii="Arial" w:hAnsi="Arial" w:cs="Arial"/>
          <w:sz w:val="20"/>
          <w:szCs w:val="20"/>
        </w:rPr>
        <w:t>beamformed additional RSs</w:t>
      </w:r>
      <w:r w:rsidR="00955BA6" w:rsidRPr="00A8799B">
        <w:rPr>
          <w:rFonts w:ascii="Arial" w:hAnsi="Arial" w:cs="Arial"/>
          <w:sz w:val="20"/>
          <w:szCs w:val="20"/>
        </w:rPr>
        <w:t xml:space="preserve">). </w:t>
      </w:r>
      <w:r w:rsidR="00955BA6">
        <w:rPr>
          <w:rFonts w:ascii="Arial" w:hAnsi="Arial" w:cs="Arial"/>
          <w:sz w:val="20"/>
          <w:szCs w:val="20"/>
        </w:rPr>
        <w:t>FFS Detailed events</w:t>
      </w:r>
    </w:p>
    <w:p w14:paraId="01C35A11" w14:textId="77777777" w:rsidR="007A67EE" w:rsidRDefault="007A67EE" w:rsidP="009C7536">
      <w:pPr>
        <w:pStyle w:val="TOC1"/>
        <w:ind w:left="0" w:firstLine="0"/>
        <w:jc w:val="both"/>
        <w:rPr>
          <w:rFonts w:cs="Arial"/>
          <w:b w:val="0"/>
          <w:kern w:val="2"/>
          <w:szCs w:val="20"/>
        </w:rPr>
      </w:pPr>
    </w:p>
    <w:p w14:paraId="1B4ACCF4" w14:textId="4AB10C26" w:rsidR="007A67EE" w:rsidRPr="007A67EE" w:rsidRDefault="007A67EE" w:rsidP="007A67EE">
      <w:pPr>
        <w:pStyle w:val="TOC1"/>
        <w:ind w:left="0" w:firstLine="0"/>
        <w:jc w:val="both"/>
        <w:rPr>
          <w:rFonts w:cs="Arial"/>
          <w:b w:val="0"/>
          <w:kern w:val="2"/>
          <w:szCs w:val="20"/>
        </w:rPr>
      </w:pPr>
      <w:r>
        <w:rPr>
          <w:rFonts w:cs="Arial"/>
          <w:b w:val="0"/>
          <w:kern w:val="2"/>
          <w:szCs w:val="20"/>
        </w:rPr>
        <w:t xml:space="preserve">These </w:t>
      </w:r>
      <w:r w:rsidRPr="007A67EE">
        <w:rPr>
          <w:rFonts w:cs="Arial"/>
          <w:b w:val="0"/>
          <w:kern w:val="2"/>
          <w:szCs w:val="20"/>
        </w:rPr>
        <w:t>two assumptions of having cell-based events for the IDLE RS encoding cell ID and having beam-based events for the beamformed additional RS, which will carr</w:t>
      </w:r>
      <w:r>
        <w:rPr>
          <w:rFonts w:cs="Arial"/>
          <w:b w:val="0"/>
          <w:kern w:val="2"/>
          <w:szCs w:val="20"/>
        </w:rPr>
        <w:t xml:space="preserve">y some kind of beam identifier (either implicit or explicit) seems to be reasonable. What remains as </w:t>
      </w:r>
      <w:r w:rsidRPr="007A67EE">
        <w:rPr>
          <w:rFonts w:cs="Arial"/>
          <w:b w:val="0"/>
          <w:kern w:val="2"/>
          <w:szCs w:val="20"/>
        </w:rPr>
        <w:t xml:space="preserve">an </w:t>
      </w:r>
      <w:r w:rsidRPr="007A67EE">
        <w:rPr>
          <w:rFonts w:cs="Arial"/>
          <w:b w:val="0"/>
          <w:szCs w:val="20"/>
        </w:rPr>
        <w:t>o</w:t>
      </w:r>
      <w:r w:rsidR="009C7536" w:rsidRPr="007A67EE">
        <w:rPr>
          <w:rFonts w:cs="Arial"/>
          <w:b w:val="0"/>
          <w:szCs w:val="20"/>
        </w:rPr>
        <w:t xml:space="preserve">pen question is whether </w:t>
      </w:r>
      <w:r w:rsidR="00B37B03">
        <w:rPr>
          <w:rFonts w:cs="Arial"/>
          <w:b w:val="0"/>
          <w:szCs w:val="20"/>
        </w:rPr>
        <w:t xml:space="preserve">there </w:t>
      </w:r>
      <w:r w:rsidR="009C7536" w:rsidRPr="007A67EE">
        <w:rPr>
          <w:rFonts w:cs="Arial"/>
          <w:b w:val="0"/>
          <w:szCs w:val="20"/>
        </w:rPr>
        <w:t xml:space="preserve">should </w:t>
      </w:r>
      <w:r w:rsidR="00B37B03">
        <w:rPr>
          <w:rFonts w:cs="Arial"/>
          <w:b w:val="0"/>
          <w:szCs w:val="20"/>
        </w:rPr>
        <w:t xml:space="preserve">also </w:t>
      </w:r>
      <w:r w:rsidR="009C7536" w:rsidRPr="007A67EE">
        <w:rPr>
          <w:rFonts w:cs="Arial"/>
          <w:b w:val="0"/>
          <w:szCs w:val="20"/>
        </w:rPr>
        <w:t xml:space="preserve">be </w:t>
      </w:r>
      <w:r>
        <w:rPr>
          <w:rFonts w:cs="Arial"/>
          <w:b w:val="0"/>
          <w:szCs w:val="20"/>
        </w:rPr>
        <w:t xml:space="preserve">mobility events associated to the beamformed additional RS </w:t>
      </w:r>
      <w:r w:rsidR="009C7536" w:rsidRPr="007A67EE">
        <w:rPr>
          <w:rFonts w:cs="Arial"/>
          <w:b w:val="0"/>
          <w:szCs w:val="20"/>
        </w:rPr>
        <w:t xml:space="preserve">required </w:t>
      </w:r>
      <w:r>
        <w:rPr>
          <w:rFonts w:cs="Arial"/>
          <w:b w:val="0"/>
          <w:szCs w:val="20"/>
        </w:rPr>
        <w:t>to be defined per cell.</w:t>
      </w:r>
    </w:p>
    <w:p w14:paraId="19B51818" w14:textId="4F2EA3B4" w:rsidR="00A526D9" w:rsidRPr="00A8799B" w:rsidRDefault="00A526D9" w:rsidP="00A526D9">
      <w:pPr>
        <w:pStyle w:val="Observation"/>
      </w:pPr>
      <w:r w:rsidRPr="00A8799B">
        <w:t>Having cell-based events for the IDLE RS encoding cell ID and having beam-based events for the beamformed additional RS seems to be reasonable</w:t>
      </w:r>
    </w:p>
    <w:p w14:paraId="36382338" w14:textId="7FB33995" w:rsidR="00A526D9" w:rsidRPr="00A8799B" w:rsidRDefault="00A526D9" w:rsidP="00A526D9">
      <w:pPr>
        <w:pStyle w:val="Observation"/>
      </w:pPr>
      <w:r w:rsidRPr="00A8799B">
        <w:t xml:space="preserve">It is an open question whether there should be mobility events associated to the beamformed additional RS </w:t>
      </w:r>
      <w:r w:rsidRPr="00A8799B">
        <w:rPr>
          <w:rFonts w:ascii="Arial" w:hAnsi="Arial"/>
          <w:sz w:val="20"/>
        </w:rPr>
        <w:t xml:space="preserve">required </w:t>
      </w:r>
      <w:r w:rsidRPr="00A8799B">
        <w:t>to be defined per cell and/or any other kind of group of beams</w:t>
      </w:r>
    </w:p>
    <w:p w14:paraId="19E777C4" w14:textId="65BF5391" w:rsidR="007A67EE" w:rsidRPr="007A67EE" w:rsidRDefault="007A67EE" w:rsidP="007A67EE">
      <w:pPr>
        <w:pStyle w:val="TOC1"/>
        <w:ind w:left="0" w:firstLine="0"/>
        <w:jc w:val="both"/>
        <w:rPr>
          <w:rFonts w:cs="Arial"/>
          <w:b w:val="0"/>
          <w:szCs w:val="20"/>
        </w:rPr>
      </w:pPr>
      <w:r>
        <w:rPr>
          <w:rFonts w:cs="Arial"/>
          <w:b w:val="0"/>
          <w:szCs w:val="20"/>
        </w:rPr>
        <w:t xml:space="preserve">If that is the case, a consequence would be that the </w:t>
      </w:r>
      <w:r w:rsidRPr="007A67EE">
        <w:rPr>
          <w:rFonts w:cs="Arial"/>
          <w:b w:val="0"/>
          <w:szCs w:val="20"/>
        </w:rPr>
        <w:t xml:space="preserve">UE </w:t>
      </w:r>
      <w:r>
        <w:rPr>
          <w:rFonts w:cs="Arial"/>
          <w:b w:val="0"/>
          <w:szCs w:val="20"/>
        </w:rPr>
        <w:t xml:space="preserve">would also be able to use </w:t>
      </w:r>
      <w:r w:rsidRPr="007A67EE">
        <w:rPr>
          <w:rFonts w:cs="Arial"/>
          <w:b w:val="0"/>
          <w:szCs w:val="20"/>
        </w:rPr>
        <w:t xml:space="preserve">the additional RSs to derive a cell measurement so that A1-A6 events </w:t>
      </w:r>
      <w:r>
        <w:rPr>
          <w:rFonts w:cs="Arial"/>
          <w:b w:val="0"/>
          <w:szCs w:val="20"/>
        </w:rPr>
        <w:t xml:space="preserve">would be possibly </w:t>
      </w:r>
      <w:r w:rsidR="00B37B03">
        <w:rPr>
          <w:rFonts w:cs="Arial"/>
          <w:b w:val="0"/>
          <w:szCs w:val="20"/>
        </w:rPr>
        <w:t xml:space="preserve">configured </w:t>
      </w:r>
      <w:r>
        <w:rPr>
          <w:rFonts w:cs="Arial"/>
          <w:b w:val="0"/>
          <w:szCs w:val="20"/>
        </w:rPr>
        <w:t>for different signals</w:t>
      </w:r>
      <w:r w:rsidRPr="007A67EE">
        <w:rPr>
          <w:rFonts w:cs="Arial"/>
          <w:b w:val="0"/>
          <w:szCs w:val="20"/>
        </w:rPr>
        <w:t xml:space="preserve">, IDLE RS or additional </w:t>
      </w:r>
      <w:r w:rsidR="00B37B03">
        <w:rPr>
          <w:rFonts w:cs="Arial"/>
          <w:b w:val="0"/>
          <w:szCs w:val="20"/>
        </w:rPr>
        <w:t>RS.</w:t>
      </w:r>
      <w:r>
        <w:rPr>
          <w:rFonts w:cs="Arial"/>
          <w:b w:val="0"/>
          <w:szCs w:val="20"/>
        </w:rPr>
        <w:t xml:space="preserve"> </w:t>
      </w:r>
    </w:p>
    <w:p w14:paraId="358784A1" w14:textId="13B2993A" w:rsidR="007A67EE" w:rsidRPr="00A8799B" w:rsidRDefault="007A67EE" w:rsidP="009C7536">
      <w:pPr>
        <w:jc w:val="both"/>
        <w:rPr>
          <w:rFonts w:ascii="Arial" w:hAnsi="Arial" w:cs="Arial"/>
          <w:sz w:val="20"/>
          <w:szCs w:val="20"/>
        </w:rPr>
      </w:pPr>
    </w:p>
    <w:p w14:paraId="39CA9ACE" w14:textId="6A207354" w:rsidR="007A67EE" w:rsidRPr="00B37B03" w:rsidRDefault="007A67EE" w:rsidP="00B37B03">
      <w:pPr>
        <w:pStyle w:val="Heading2"/>
        <w:rPr>
          <w:lang w:val="en-US"/>
        </w:rPr>
      </w:pPr>
      <w:r>
        <w:rPr>
          <w:lang w:val="en-US"/>
        </w:rPr>
        <w:t>Beam grouping for additional RS</w:t>
      </w:r>
    </w:p>
    <w:p w14:paraId="5731BAFA" w14:textId="18F6B66C" w:rsidR="00D8203B" w:rsidRPr="0081055B" w:rsidRDefault="005074FA" w:rsidP="009C7536">
      <w:pPr>
        <w:jc w:val="both"/>
        <w:rPr>
          <w:rFonts w:ascii="Arial" w:hAnsi="Arial" w:cs="Arial"/>
          <w:sz w:val="20"/>
          <w:szCs w:val="20"/>
        </w:rPr>
      </w:pPr>
      <w:r w:rsidRPr="00A8799B">
        <w:rPr>
          <w:rFonts w:ascii="Arial" w:hAnsi="Arial" w:cs="Arial"/>
          <w:sz w:val="20"/>
          <w:szCs w:val="20"/>
        </w:rPr>
        <w:t xml:space="preserve">In </w:t>
      </w:r>
      <w:r w:rsidR="00D8203B" w:rsidRPr="00A8799B">
        <w:rPr>
          <w:rFonts w:ascii="Arial" w:hAnsi="Arial" w:cs="Arial"/>
          <w:sz w:val="20"/>
          <w:szCs w:val="20"/>
        </w:rPr>
        <w:t xml:space="preserve">RRC_CONNECTED it is expected that in certain scenarios (such as in higher frequencies) the UE </w:t>
      </w:r>
      <w:r w:rsidR="00997C08">
        <w:rPr>
          <w:rFonts w:ascii="Arial" w:hAnsi="Arial" w:cs="Arial"/>
          <w:sz w:val="20"/>
          <w:szCs w:val="20"/>
        </w:rPr>
        <w:t>may</w:t>
      </w:r>
      <w:r w:rsidR="00D8203B" w:rsidRPr="00A8799B">
        <w:rPr>
          <w:rFonts w:ascii="Arial" w:hAnsi="Arial" w:cs="Arial"/>
          <w:sz w:val="20"/>
          <w:szCs w:val="20"/>
        </w:rPr>
        <w:t xml:space="preserve"> detect a significant </w:t>
      </w:r>
      <w:r w:rsidR="009C7536" w:rsidRPr="00A8799B">
        <w:rPr>
          <w:rFonts w:ascii="Arial" w:hAnsi="Arial" w:cs="Arial"/>
          <w:sz w:val="20"/>
          <w:szCs w:val="20"/>
        </w:rPr>
        <w:t xml:space="preserve">number </w:t>
      </w:r>
      <w:r w:rsidR="00D8203B" w:rsidRPr="00A8799B">
        <w:rPr>
          <w:rFonts w:ascii="Arial" w:hAnsi="Arial" w:cs="Arial"/>
          <w:sz w:val="20"/>
          <w:szCs w:val="20"/>
        </w:rPr>
        <w:t xml:space="preserve">of </w:t>
      </w:r>
      <w:r w:rsidRPr="00A8799B">
        <w:rPr>
          <w:rFonts w:ascii="Arial" w:hAnsi="Arial" w:cs="Arial"/>
          <w:sz w:val="20"/>
          <w:szCs w:val="20"/>
        </w:rPr>
        <w:t xml:space="preserve">additional RS beams </w:t>
      </w:r>
      <w:r w:rsidR="00D8203B" w:rsidRPr="00A8799B">
        <w:rPr>
          <w:rFonts w:ascii="Arial" w:hAnsi="Arial" w:cs="Arial"/>
          <w:sz w:val="20"/>
          <w:szCs w:val="20"/>
        </w:rPr>
        <w:t xml:space="preserve">at the time, and, there might be situations where performing handover based only on individual </w:t>
      </w:r>
      <w:r w:rsidRPr="00A8799B">
        <w:rPr>
          <w:rFonts w:ascii="Arial" w:hAnsi="Arial" w:cs="Arial"/>
          <w:sz w:val="20"/>
          <w:szCs w:val="20"/>
        </w:rPr>
        <w:t xml:space="preserve">beams </w:t>
      </w:r>
      <w:r w:rsidR="00D8203B" w:rsidRPr="00A8799B">
        <w:rPr>
          <w:rFonts w:ascii="Arial" w:hAnsi="Arial" w:cs="Arial"/>
          <w:sz w:val="20"/>
          <w:szCs w:val="20"/>
        </w:rPr>
        <w:t xml:space="preserve">is not the most beneficial choice. One situation when handovers based on individual beam-based measurements can be problematic is when the handover decision causes ping-pong between different </w:t>
      </w:r>
      <w:r w:rsidRPr="00A8799B">
        <w:rPr>
          <w:rFonts w:ascii="Arial" w:hAnsi="Arial" w:cs="Arial"/>
          <w:sz w:val="20"/>
          <w:szCs w:val="20"/>
        </w:rPr>
        <w:t xml:space="preserve">nodes, as discussed in </w:t>
      </w:r>
      <w:r>
        <w:rPr>
          <w:rFonts w:ascii="Arial" w:hAnsi="Arial" w:cs="Arial"/>
          <w:sz w:val="20"/>
          <w:szCs w:val="20"/>
        </w:rPr>
        <w:fldChar w:fldCharType="begin"/>
      </w:r>
      <w:r w:rsidRPr="00A8799B">
        <w:rPr>
          <w:rFonts w:ascii="Arial" w:hAnsi="Arial" w:cs="Arial"/>
          <w:sz w:val="20"/>
          <w:szCs w:val="20"/>
        </w:rPr>
        <w:instrText xml:space="preserve"> REF _Ref473907406 \n \h </w:instrText>
      </w:r>
      <w:r>
        <w:rPr>
          <w:rFonts w:ascii="Arial" w:hAnsi="Arial" w:cs="Arial"/>
          <w:sz w:val="20"/>
          <w:szCs w:val="20"/>
        </w:rPr>
      </w:r>
      <w:r>
        <w:rPr>
          <w:rFonts w:ascii="Arial" w:hAnsi="Arial" w:cs="Arial"/>
          <w:sz w:val="20"/>
          <w:szCs w:val="20"/>
        </w:rPr>
        <w:fldChar w:fldCharType="separate"/>
      </w:r>
      <w:r w:rsidRPr="00A8799B">
        <w:rPr>
          <w:rFonts w:ascii="Arial" w:hAnsi="Arial" w:cs="Arial"/>
          <w:sz w:val="20"/>
          <w:szCs w:val="20"/>
        </w:rPr>
        <w:t>[5]</w:t>
      </w:r>
      <w:r>
        <w:rPr>
          <w:rFonts w:ascii="Arial" w:hAnsi="Arial" w:cs="Arial"/>
          <w:sz w:val="20"/>
          <w:szCs w:val="20"/>
        </w:rPr>
        <w:fldChar w:fldCharType="end"/>
      </w:r>
      <w:r w:rsidR="00D8203B" w:rsidRPr="00A8799B">
        <w:rPr>
          <w:rFonts w:ascii="Arial" w:hAnsi="Arial" w:cs="Arial"/>
          <w:sz w:val="20"/>
          <w:szCs w:val="20"/>
        </w:rPr>
        <w:t xml:space="preserve">. </w:t>
      </w:r>
      <w:r w:rsidR="00D8203B" w:rsidRPr="0081055B">
        <w:rPr>
          <w:rFonts w:ascii="Arial" w:hAnsi="Arial" w:cs="Arial"/>
          <w:sz w:val="20"/>
          <w:szCs w:val="20"/>
        </w:rPr>
        <w:t xml:space="preserve">An example is given in </w:t>
      </w:r>
      <w:r w:rsidR="00D8203B" w:rsidRPr="0081055B">
        <w:rPr>
          <w:rFonts w:ascii="Arial" w:hAnsi="Arial" w:cs="Arial"/>
          <w:sz w:val="20"/>
          <w:szCs w:val="20"/>
        </w:rPr>
        <w:fldChar w:fldCharType="begin"/>
      </w:r>
      <w:r w:rsidR="00D8203B" w:rsidRPr="0081055B">
        <w:rPr>
          <w:rFonts w:ascii="Arial" w:hAnsi="Arial" w:cs="Arial"/>
          <w:sz w:val="20"/>
          <w:szCs w:val="20"/>
        </w:rPr>
        <w:instrText xml:space="preserve"> REF _Ref465845893 \h </w:instrText>
      </w:r>
      <w:r w:rsidR="0081055B" w:rsidRPr="0081055B">
        <w:rPr>
          <w:rFonts w:ascii="Arial" w:hAnsi="Arial" w:cs="Arial"/>
          <w:sz w:val="20"/>
          <w:szCs w:val="20"/>
        </w:rPr>
        <w:instrText xml:space="preserve"> \* MERGEFORMAT </w:instrText>
      </w:r>
      <w:r w:rsidR="00D8203B" w:rsidRPr="0081055B">
        <w:rPr>
          <w:rFonts w:ascii="Arial" w:hAnsi="Arial" w:cs="Arial"/>
          <w:sz w:val="20"/>
          <w:szCs w:val="20"/>
        </w:rPr>
      </w:r>
      <w:r w:rsidR="00D8203B" w:rsidRPr="0081055B">
        <w:rPr>
          <w:rFonts w:ascii="Arial" w:hAnsi="Arial" w:cs="Arial"/>
          <w:sz w:val="20"/>
          <w:szCs w:val="20"/>
        </w:rPr>
        <w:fldChar w:fldCharType="separate"/>
      </w:r>
      <w:r w:rsidR="003D2702" w:rsidRPr="006B67CF">
        <w:rPr>
          <w:rFonts w:ascii="Arial" w:hAnsi="Arial" w:cs="Arial"/>
          <w:sz w:val="20"/>
          <w:szCs w:val="20"/>
        </w:rPr>
        <w:t xml:space="preserve">Figure </w:t>
      </w:r>
      <w:r w:rsidR="003D2702">
        <w:rPr>
          <w:rFonts w:ascii="Arial" w:hAnsi="Arial" w:cs="Arial"/>
          <w:sz w:val="20"/>
          <w:szCs w:val="20"/>
        </w:rPr>
        <w:t>1</w:t>
      </w:r>
      <w:r w:rsidR="00D8203B" w:rsidRPr="0081055B">
        <w:rPr>
          <w:rFonts w:ascii="Arial" w:hAnsi="Arial" w:cs="Arial"/>
          <w:sz w:val="20"/>
          <w:szCs w:val="20"/>
        </w:rPr>
        <w:fldChar w:fldCharType="end"/>
      </w:r>
      <w:r w:rsidR="00D8203B" w:rsidRPr="0081055B">
        <w:rPr>
          <w:rFonts w:ascii="Arial" w:hAnsi="Arial" w:cs="Arial"/>
          <w:sz w:val="20"/>
          <w:szCs w:val="20"/>
        </w:rPr>
        <w:t xml:space="preserve">. </w:t>
      </w:r>
    </w:p>
    <w:p w14:paraId="29DEE941" w14:textId="58A123AD" w:rsidR="00D8203B" w:rsidRPr="0081055B" w:rsidRDefault="00D8203B" w:rsidP="00D8203B">
      <w:pPr>
        <w:jc w:val="center"/>
        <w:rPr>
          <w:rFonts w:ascii="Arial" w:hAnsi="Arial" w:cs="Arial"/>
          <w:sz w:val="20"/>
          <w:szCs w:val="20"/>
        </w:rPr>
      </w:pPr>
      <w:r w:rsidRPr="0081055B">
        <w:rPr>
          <w:rFonts w:ascii="Arial" w:hAnsi="Arial" w:cs="Arial"/>
          <w:noProof/>
          <w:sz w:val="20"/>
          <w:szCs w:val="20"/>
        </w:rPr>
        <w:drawing>
          <wp:inline distT="0" distB="0" distL="0" distR="0" wp14:anchorId="0EE3BD9D" wp14:editId="02DFA3F2">
            <wp:extent cx="222885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8850" cy="1504950"/>
                    </a:xfrm>
                    <a:prstGeom prst="rect">
                      <a:avLst/>
                    </a:prstGeom>
                    <a:noFill/>
                    <a:ln>
                      <a:noFill/>
                    </a:ln>
                  </pic:spPr>
                </pic:pic>
              </a:graphicData>
            </a:graphic>
          </wp:inline>
        </w:drawing>
      </w:r>
    </w:p>
    <w:p w14:paraId="67A733AF" w14:textId="37632BFC" w:rsidR="00D8203B" w:rsidRPr="00A8799B" w:rsidRDefault="00D8203B" w:rsidP="00D8203B">
      <w:pPr>
        <w:pStyle w:val="Caption"/>
        <w:rPr>
          <w:rFonts w:ascii="Arial" w:hAnsi="Arial" w:cs="Arial"/>
          <w:sz w:val="20"/>
          <w:szCs w:val="20"/>
        </w:rPr>
      </w:pPr>
      <w:bookmarkStart w:id="4" w:name="_Ref465845893"/>
      <w:r w:rsidRPr="00A8799B">
        <w:rPr>
          <w:rFonts w:ascii="Arial" w:hAnsi="Arial" w:cs="Arial"/>
          <w:sz w:val="20"/>
          <w:szCs w:val="20"/>
        </w:rPr>
        <w:t xml:space="preserve">Figure </w:t>
      </w:r>
      <w:r w:rsidRPr="0081055B">
        <w:rPr>
          <w:rFonts w:ascii="Arial" w:hAnsi="Arial" w:cs="Arial"/>
          <w:sz w:val="20"/>
          <w:szCs w:val="20"/>
        </w:rPr>
        <w:fldChar w:fldCharType="begin"/>
      </w:r>
      <w:r w:rsidRPr="00A8799B">
        <w:rPr>
          <w:rFonts w:ascii="Arial" w:hAnsi="Arial" w:cs="Arial"/>
          <w:sz w:val="20"/>
          <w:szCs w:val="20"/>
        </w:rPr>
        <w:instrText xml:space="preserve"> SEQ Figure \* ARABIC </w:instrText>
      </w:r>
      <w:r w:rsidRPr="0081055B">
        <w:rPr>
          <w:rFonts w:ascii="Arial" w:hAnsi="Arial" w:cs="Arial"/>
          <w:sz w:val="20"/>
          <w:szCs w:val="20"/>
        </w:rPr>
        <w:fldChar w:fldCharType="separate"/>
      </w:r>
      <w:r w:rsidR="003D2702" w:rsidRPr="00A8799B">
        <w:rPr>
          <w:rFonts w:ascii="Arial" w:hAnsi="Arial" w:cs="Arial"/>
          <w:noProof/>
          <w:sz w:val="20"/>
          <w:szCs w:val="20"/>
        </w:rPr>
        <w:t>1</w:t>
      </w:r>
      <w:r w:rsidRPr="0081055B">
        <w:rPr>
          <w:rFonts w:ascii="Arial" w:hAnsi="Arial" w:cs="Arial"/>
          <w:sz w:val="20"/>
          <w:szCs w:val="20"/>
        </w:rPr>
        <w:fldChar w:fldCharType="end"/>
      </w:r>
      <w:bookmarkEnd w:id="4"/>
      <w:r w:rsidRPr="00A8799B">
        <w:rPr>
          <w:rFonts w:ascii="Arial" w:hAnsi="Arial" w:cs="Arial"/>
          <w:sz w:val="20"/>
          <w:szCs w:val="20"/>
        </w:rPr>
        <w:t xml:space="preserve"> Example of ping pong between different nodes.</w:t>
      </w:r>
    </w:p>
    <w:p w14:paraId="1476AEF2" w14:textId="0D7779DB" w:rsidR="00D8203B" w:rsidRPr="00A8799B" w:rsidRDefault="00D8203B" w:rsidP="005074FA">
      <w:pPr>
        <w:jc w:val="both"/>
        <w:rPr>
          <w:rFonts w:ascii="Arial" w:hAnsi="Arial" w:cs="Arial"/>
          <w:sz w:val="20"/>
          <w:szCs w:val="20"/>
        </w:rPr>
      </w:pPr>
      <w:r w:rsidRPr="00A8799B">
        <w:rPr>
          <w:rFonts w:ascii="Arial" w:hAnsi="Arial" w:cs="Arial"/>
          <w:sz w:val="20"/>
          <w:szCs w:val="20"/>
        </w:rPr>
        <w:t xml:space="preserve">In the example, taking handover decisions based on individual </w:t>
      </w:r>
      <w:r w:rsidR="005074FA" w:rsidRPr="00A8799B">
        <w:rPr>
          <w:rFonts w:ascii="Arial" w:hAnsi="Arial" w:cs="Arial"/>
          <w:sz w:val="20"/>
          <w:szCs w:val="20"/>
        </w:rPr>
        <w:t>beams</w:t>
      </w:r>
      <w:r w:rsidRPr="00A8799B">
        <w:rPr>
          <w:rFonts w:ascii="Arial" w:hAnsi="Arial" w:cs="Arial"/>
          <w:sz w:val="20"/>
          <w:szCs w:val="20"/>
        </w:rPr>
        <w:t xml:space="preserve">, i.e. always handing over to the beam with the strongest </w:t>
      </w:r>
      <w:r w:rsidR="00FE20DB" w:rsidRPr="00A8799B">
        <w:rPr>
          <w:rFonts w:ascii="Arial" w:hAnsi="Arial" w:cs="Arial"/>
          <w:sz w:val="20"/>
          <w:szCs w:val="20"/>
        </w:rPr>
        <w:t>additional RS</w:t>
      </w:r>
      <w:r w:rsidRPr="00A8799B">
        <w:rPr>
          <w:rFonts w:ascii="Arial" w:hAnsi="Arial" w:cs="Arial"/>
          <w:sz w:val="20"/>
          <w:szCs w:val="20"/>
        </w:rPr>
        <w:t xml:space="preserve">, would lead to six handovers when the UE is moving along the depicted arrow according to </w:t>
      </w:r>
      <w:r w:rsidRPr="0081055B">
        <w:rPr>
          <w:rFonts w:ascii="Arial" w:hAnsi="Arial" w:cs="Arial"/>
          <w:sz w:val="20"/>
          <w:szCs w:val="20"/>
        </w:rPr>
        <w:fldChar w:fldCharType="begin"/>
      </w:r>
      <w:r w:rsidRPr="00A8799B">
        <w:rPr>
          <w:rFonts w:ascii="Arial" w:hAnsi="Arial" w:cs="Arial"/>
          <w:sz w:val="20"/>
          <w:szCs w:val="20"/>
        </w:rPr>
        <w:instrText xml:space="preserve"> REF _Ref465848428 \h </w:instrText>
      </w:r>
      <w:r w:rsidR="0081055B" w:rsidRPr="00A8799B">
        <w:rPr>
          <w:rFonts w:ascii="Arial" w:hAnsi="Arial" w:cs="Arial"/>
          <w:sz w:val="20"/>
          <w:szCs w:val="20"/>
        </w:rPr>
        <w:instrText xml:space="preserve"> \* MERGEFORMAT </w:instrText>
      </w:r>
      <w:r w:rsidRPr="0081055B">
        <w:rPr>
          <w:rFonts w:ascii="Arial" w:hAnsi="Arial" w:cs="Arial"/>
          <w:sz w:val="20"/>
          <w:szCs w:val="20"/>
        </w:rPr>
      </w:r>
      <w:r w:rsidRPr="0081055B">
        <w:rPr>
          <w:rFonts w:ascii="Arial" w:hAnsi="Arial" w:cs="Arial"/>
          <w:sz w:val="20"/>
          <w:szCs w:val="20"/>
        </w:rPr>
        <w:fldChar w:fldCharType="separate"/>
      </w:r>
      <w:r w:rsidR="003D2702" w:rsidRPr="00A8799B">
        <w:rPr>
          <w:rFonts w:ascii="Arial" w:hAnsi="Arial" w:cs="Arial"/>
          <w:sz w:val="20"/>
          <w:szCs w:val="20"/>
        </w:rPr>
        <w:t xml:space="preserve">Table </w:t>
      </w:r>
      <w:r w:rsidR="003D2702" w:rsidRPr="00A8799B">
        <w:rPr>
          <w:rFonts w:ascii="Arial" w:hAnsi="Arial" w:cs="Arial"/>
          <w:noProof/>
          <w:sz w:val="20"/>
          <w:szCs w:val="20"/>
        </w:rPr>
        <w:t>1</w:t>
      </w:r>
      <w:r w:rsidRPr="0081055B">
        <w:rPr>
          <w:rFonts w:ascii="Arial" w:hAnsi="Arial" w:cs="Arial"/>
          <w:sz w:val="20"/>
          <w:szCs w:val="20"/>
        </w:rPr>
        <w:fldChar w:fldCharType="end"/>
      </w:r>
      <w:r w:rsidRPr="00A8799B">
        <w:rPr>
          <w:rFonts w:ascii="Arial" w:hAnsi="Arial" w:cs="Arial"/>
          <w:sz w:val="20"/>
          <w:szCs w:val="20"/>
        </w:rPr>
        <w:t xml:space="preserve">, here referred to as example a. As can be seen, three inter-gNB handovers are made, namely handover 1a, 2a and 4a. Whereas handover 4a is necessary as the UE continues moving between beams from gNB3, the first two inter-gNB handovers 1a and 2a are resulting in a ping-pong between </w:t>
      </w:r>
      <w:r w:rsidR="005074FA" w:rsidRPr="00A8799B">
        <w:rPr>
          <w:rFonts w:ascii="Arial" w:hAnsi="Arial" w:cs="Arial"/>
          <w:sz w:val="20"/>
          <w:szCs w:val="20"/>
        </w:rPr>
        <w:t>gNodeBs</w:t>
      </w:r>
      <w:r w:rsidRPr="00A8799B">
        <w:rPr>
          <w:rFonts w:ascii="Arial" w:hAnsi="Arial" w:cs="Arial"/>
          <w:sz w:val="20"/>
          <w:szCs w:val="20"/>
        </w:rPr>
        <w:t xml:space="preserve">. In this case it would have been more beneficial to avoid handover 1a, and stay in gNB1. An example is given in </w:t>
      </w:r>
      <w:r w:rsidRPr="0081055B">
        <w:rPr>
          <w:rFonts w:ascii="Arial" w:hAnsi="Arial" w:cs="Arial"/>
          <w:sz w:val="20"/>
          <w:szCs w:val="20"/>
        </w:rPr>
        <w:fldChar w:fldCharType="begin"/>
      </w:r>
      <w:r w:rsidRPr="00A8799B">
        <w:rPr>
          <w:rFonts w:ascii="Arial" w:hAnsi="Arial" w:cs="Arial"/>
          <w:sz w:val="20"/>
          <w:szCs w:val="20"/>
        </w:rPr>
        <w:instrText xml:space="preserve"> REF _Ref465849240 \h </w:instrText>
      </w:r>
      <w:r w:rsidR="0081055B" w:rsidRPr="00A8799B">
        <w:rPr>
          <w:rFonts w:ascii="Arial" w:hAnsi="Arial" w:cs="Arial"/>
          <w:sz w:val="20"/>
          <w:szCs w:val="20"/>
        </w:rPr>
        <w:instrText xml:space="preserve"> \* MERGEFORMAT </w:instrText>
      </w:r>
      <w:r w:rsidRPr="0081055B">
        <w:rPr>
          <w:rFonts w:ascii="Arial" w:hAnsi="Arial" w:cs="Arial"/>
          <w:sz w:val="20"/>
          <w:szCs w:val="20"/>
        </w:rPr>
      </w:r>
      <w:r w:rsidRPr="0081055B">
        <w:rPr>
          <w:rFonts w:ascii="Arial" w:hAnsi="Arial" w:cs="Arial"/>
          <w:sz w:val="20"/>
          <w:szCs w:val="20"/>
        </w:rPr>
        <w:fldChar w:fldCharType="separate"/>
      </w:r>
      <w:r w:rsidR="003D2702" w:rsidRPr="00A8799B">
        <w:rPr>
          <w:rFonts w:ascii="Arial" w:hAnsi="Arial" w:cs="Arial"/>
          <w:sz w:val="20"/>
          <w:szCs w:val="20"/>
        </w:rPr>
        <w:t xml:space="preserve">Table </w:t>
      </w:r>
      <w:r w:rsidR="003D2702" w:rsidRPr="00A8799B">
        <w:rPr>
          <w:rFonts w:ascii="Arial" w:hAnsi="Arial" w:cs="Arial"/>
          <w:noProof/>
          <w:sz w:val="20"/>
          <w:szCs w:val="20"/>
        </w:rPr>
        <w:t>2</w:t>
      </w:r>
      <w:r w:rsidRPr="0081055B">
        <w:rPr>
          <w:rFonts w:ascii="Arial" w:hAnsi="Arial" w:cs="Arial"/>
          <w:sz w:val="20"/>
          <w:szCs w:val="20"/>
        </w:rPr>
        <w:fldChar w:fldCharType="end"/>
      </w:r>
      <w:r w:rsidRPr="00A8799B">
        <w:rPr>
          <w:rFonts w:ascii="Arial" w:hAnsi="Arial" w:cs="Arial"/>
          <w:sz w:val="20"/>
          <w:szCs w:val="20"/>
        </w:rPr>
        <w:t>, where only five handovers are performed. With the knowledge of which beams, represented by different active mode mobility reference signals, that belong to the same group, for example is being transmitted by the same gNB, the signal strength/quality from multiple beams within this group can be used for triggering handover events and UE reporting. This way, problems caused by only considering single beams can be avoided, also see example b.</w:t>
      </w:r>
      <w:r w:rsidR="00997C08">
        <w:rPr>
          <w:rFonts w:ascii="Arial" w:hAnsi="Arial" w:cs="Arial"/>
          <w:sz w:val="20"/>
          <w:szCs w:val="20"/>
        </w:rPr>
        <w:t xml:space="preserve"> Note however that the 1a handover is only unnecessary in retrospect. If the UE had stopped moving before it reached the point where it had been handed over to beam 12, then the handover paradigm </w:t>
      </w:r>
      <w:r w:rsidR="00312C65">
        <w:rPr>
          <w:rFonts w:ascii="Arial" w:hAnsi="Arial" w:cs="Arial"/>
          <w:sz w:val="20"/>
          <w:szCs w:val="20"/>
        </w:rPr>
        <w:t>based on individual beams would have provided better performance.</w:t>
      </w:r>
    </w:p>
    <w:p w14:paraId="282242BF" w14:textId="77777777" w:rsidR="00D8203B" w:rsidRPr="00A8799B" w:rsidRDefault="00D8203B" w:rsidP="00D8203B">
      <w:pPr>
        <w:rPr>
          <w:rFonts w:ascii="Arial" w:hAnsi="Arial" w:cs="Arial"/>
        </w:rPr>
      </w:pPr>
    </w:p>
    <w:tbl>
      <w:tblPr>
        <w:tblStyle w:val="TableGrid"/>
        <w:tblW w:w="0" w:type="auto"/>
        <w:jc w:val="center"/>
        <w:tblLook w:val="04A0" w:firstRow="1" w:lastRow="0" w:firstColumn="1" w:lastColumn="0" w:noHBand="0" w:noVBand="1"/>
      </w:tblPr>
      <w:tblGrid>
        <w:gridCol w:w="2084"/>
        <w:gridCol w:w="510"/>
        <w:gridCol w:w="510"/>
        <w:gridCol w:w="510"/>
        <w:gridCol w:w="510"/>
        <w:gridCol w:w="510"/>
        <w:gridCol w:w="510"/>
        <w:gridCol w:w="510"/>
      </w:tblGrid>
      <w:tr w:rsidR="00D8203B" w:rsidRPr="0081055B" w14:paraId="1C4D55EE" w14:textId="77777777" w:rsidTr="004E0BD6">
        <w:trPr>
          <w:jc w:val="center"/>
        </w:trPr>
        <w:tc>
          <w:tcPr>
            <w:tcW w:w="2084" w:type="dxa"/>
          </w:tcPr>
          <w:p w14:paraId="45676224" w14:textId="77777777" w:rsidR="00D8203B" w:rsidRPr="0081055B" w:rsidRDefault="00D8203B" w:rsidP="004E0BD6">
            <w:pPr>
              <w:keepNext/>
              <w:spacing w:before="240"/>
              <w:rPr>
                <w:rFonts w:ascii="Arial" w:hAnsi="Arial" w:cs="Arial"/>
                <w:b/>
                <w:sz w:val="20"/>
                <w:szCs w:val="20"/>
                <w:lang w:val="en-US"/>
              </w:rPr>
            </w:pPr>
            <w:r w:rsidRPr="0081055B">
              <w:rPr>
                <w:rFonts w:ascii="Arial" w:hAnsi="Arial" w:cs="Arial"/>
                <w:b/>
                <w:sz w:val="20"/>
                <w:szCs w:val="20"/>
                <w:lang w:val="en-US"/>
              </w:rPr>
              <w:t>Handover</w:t>
            </w:r>
          </w:p>
        </w:tc>
        <w:tc>
          <w:tcPr>
            <w:tcW w:w="510" w:type="dxa"/>
          </w:tcPr>
          <w:p w14:paraId="2A2CE73B"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w:t>
            </w:r>
          </w:p>
        </w:tc>
        <w:tc>
          <w:tcPr>
            <w:tcW w:w="510" w:type="dxa"/>
          </w:tcPr>
          <w:p w14:paraId="17AF8858"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1a</w:t>
            </w:r>
          </w:p>
        </w:tc>
        <w:tc>
          <w:tcPr>
            <w:tcW w:w="510" w:type="dxa"/>
          </w:tcPr>
          <w:p w14:paraId="440E5D81"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2a</w:t>
            </w:r>
          </w:p>
        </w:tc>
        <w:tc>
          <w:tcPr>
            <w:tcW w:w="510" w:type="dxa"/>
          </w:tcPr>
          <w:p w14:paraId="7625E6EA"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3a</w:t>
            </w:r>
          </w:p>
        </w:tc>
        <w:tc>
          <w:tcPr>
            <w:tcW w:w="510" w:type="dxa"/>
          </w:tcPr>
          <w:p w14:paraId="2718A309"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4a</w:t>
            </w:r>
          </w:p>
        </w:tc>
        <w:tc>
          <w:tcPr>
            <w:tcW w:w="510" w:type="dxa"/>
          </w:tcPr>
          <w:p w14:paraId="773345D7"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5a</w:t>
            </w:r>
          </w:p>
        </w:tc>
        <w:tc>
          <w:tcPr>
            <w:tcW w:w="510" w:type="dxa"/>
          </w:tcPr>
          <w:p w14:paraId="050B4471"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6a</w:t>
            </w:r>
          </w:p>
        </w:tc>
      </w:tr>
      <w:tr w:rsidR="00D8203B" w:rsidRPr="0081055B" w14:paraId="787058CA" w14:textId="77777777" w:rsidTr="004E0BD6">
        <w:trPr>
          <w:jc w:val="center"/>
        </w:trPr>
        <w:tc>
          <w:tcPr>
            <w:tcW w:w="2084" w:type="dxa"/>
          </w:tcPr>
          <w:p w14:paraId="5DE64BBF" w14:textId="77777777" w:rsidR="00D8203B" w:rsidRPr="0081055B" w:rsidRDefault="00D8203B" w:rsidP="004E0BD6">
            <w:pPr>
              <w:keepNext/>
              <w:spacing w:before="240"/>
              <w:rPr>
                <w:rFonts w:ascii="Arial" w:hAnsi="Arial" w:cs="Arial"/>
                <w:b/>
                <w:sz w:val="20"/>
                <w:szCs w:val="20"/>
                <w:lang w:val="en-US"/>
              </w:rPr>
            </w:pPr>
            <w:r w:rsidRPr="0081055B">
              <w:rPr>
                <w:rFonts w:ascii="Arial" w:hAnsi="Arial" w:cs="Arial"/>
                <w:b/>
                <w:sz w:val="20"/>
                <w:szCs w:val="20"/>
                <w:lang w:val="en-US"/>
              </w:rPr>
              <w:t>New Serving gNB</w:t>
            </w:r>
          </w:p>
        </w:tc>
        <w:tc>
          <w:tcPr>
            <w:tcW w:w="510" w:type="dxa"/>
            <w:shd w:val="clear" w:color="auto" w:fill="DEEEF7"/>
          </w:tcPr>
          <w:p w14:paraId="66F4D8BE"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w:t>
            </w:r>
          </w:p>
        </w:tc>
        <w:tc>
          <w:tcPr>
            <w:tcW w:w="510" w:type="dxa"/>
            <w:shd w:val="clear" w:color="auto" w:fill="DFCDD9"/>
          </w:tcPr>
          <w:p w14:paraId="5A2BE29D"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2</w:t>
            </w:r>
          </w:p>
        </w:tc>
        <w:tc>
          <w:tcPr>
            <w:tcW w:w="510" w:type="dxa"/>
            <w:shd w:val="clear" w:color="auto" w:fill="DEEEF7"/>
          </w:tcPr>
          <w:p w14:paraId="60A188F6"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w:t>
            </w:r>
          </w:p>
        </w:tc>
        <w:tc>
          <w:tcPr>
            <w:tcW w:w="510" w:type="dxa"/>
            <w:shd w:val="clear" w:color="auto" w:fill="DEEEF7"/>
          </w:tcPr>
          <w:p w14:paraId="30101CBC"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w:t>
            </w:r>
          </w:p>
        </w:tc>
        <w:tc>
          <w:tcPr>
            <w:tcW w:w="510" w:type="dxa"/>
            <w:shd w:val="clear" w:color="auto" w:fill="C8DBD9"/>
          </w:tcPr>
          <w:p w14:paraId="752B2A31"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w:t>
            </w:r>
          </w:p>
        </w:tc>
        <w:tc>
          <w:tcPr>
            <w:tcW w:w="510" w:type="dxa"/>
            <w:shd w:val="clear" w:color="auto" w:fill="C8DBD9"/>
          </w:tcPr>
          <w:p w14:paraId="13FE8819"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w:t>
            </w:r>
          </w:p>
        </w:tc>
        <w:tc>
          <w:tcPr>
            <w:tcW w:w="510" w:type="dxa"/>
            <w:shd w:val="clear" w:color="auto" w:fill="C8DBD9"/>
          </w:tcPr>
          <w:p w14:paraId="26B7E8F2"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w:t>
            </w:r>
          </w:p>
        </w:tc>
      </w:tr>
      <w:tr w:rsidR="00D8203B" w:rsidRPr="0081055B" w14:paraId="71FC1A97" w14:textId="77777777" w:rsidTr="004E0BD6">
        <w:trPr>
          <w:jc w:val="center"/>
        </w:trPr>
        <w:tc>
          <w:tcPr>
            <w:tcW w:w="2084" w:type="dxa"/>
          </w:tcPr>
          <w:p w14:paraId="090B252A" w14:textId="77777777" w:rsidR="00D8203B" w:rsidRPr="0081055B" w:rsidRDefault="00D8203B" w:rsidP="004E0BD6">
            <w:pPr>
              <w:keepNext/>
              <w:spacing w:before="240"/>
              <w:rPr>
                <w:rFonts w:ascii="Arial" w:hAnsi="Arial" w:cs="Arial"/>
                <w:b/>
                <w:sz w:val="20"/>
                <w:szCs w:val="20"/>
                <w:lang w:val="en-US"/>
              </w:rPr>
            </w:pPr>
            <w:r w:rsidRPr="0081055B">
              <w:rPr>
                <w:rFonts w:ascii="Arial" w:hAnsi="Arial" w:cs="Arial"/>
                <w:b/>
                <w:sz w:val="20"/>
                <w:szCs w:val="20"/>
                <w:lang w:val="en-US"/>
              </w:rPr>
              <w:t>New Serving Beam</w:t>
            </w:r>
          </w:p>
        </w:tc>
        <w:tc>
          <w:tcPr>
            <w:tcW w:w="510" w:type="dxa"/>
            <w:shd w:val="clear" w:color="auto" w:fill="DEEEF7"/>
          </w:tcPr>
          <w:p w14:paraId="0B9D5F67"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11</w:t>
            </w:r>
          </w:p>
        </w:tc>
        <w:tc>
          <w:tcPr>
            <w:tcW w:w="510" w:type="dxa"/>
            <w:shd w:val="clear" w:color="auto" w:fill="DFCDD9"/>
          </w:tcPr>
          <w:p w14:paraId="2F61AD2A"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22</w:t>
            </w:r>
          </w:p>
        </w:tc>
        <w:tc>
          <w:tcPr>
            <w:tcW w:w="510" w:type="dxa"/>
            <w:shd w:val="clear" w:color="auto" w:fill="DEEEF7"/>
          </w:tcPr>
          <w:p w14:paraId="513CE751"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12</w:t>
            </w:r>
          </w:p>
        </w:tc>
        <w:tc>
          <w:tcPr>
            <w:tcW w:w="510" w:type="dxa"/>
            <w:shd w:val="clear" w:color="auto" w:fill="DEEEF7"/>
          </w:tcPr>
          <w:p w14:paraId="2882FE12"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13</w:t>
            </w:r>
          </w:p>
        </w:tc>
        <w:tc>
          <w:tcPr>
            <w:tcW w:w="510" w:type="dxa"/>
            <w:shd w:val="clear" w:color="auto" w:fill="C8DBD9"/>
          </w:tcPr>
          <w:p w14:paraId="4459C4BE"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31</w:t>
            </w:r>
          </w:p>
        </w:tc>
        <w:tc>
          <w:tcPr>
            <w:tcW w:w="510" w:type="dxa"/>
            <w:shd w:val="clear" w:color="auto" w:fill="C8DBD9"/>
          </w:tcPr>
          <w:p w14:paraId="42DD7C73"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32</w:t>
            </w:r>
          </w:p>
        </w:tc>
        <w:tc>
          <w:tcPr>
            <w:tcW w:w="510" w:type="dxa"/>
            <w:shd w:val="clear" w:color="auto" w:fill="C8DBD9"/>
          </w:tcPr>
          <w:p w14:paraId="45FC0FEF"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33</w:t>
            </w:r>
          </w:p>
        </w:tc>
      </w:tr>
    </w:tbl>
    <w:p w14:paraId="6F94F9BB" w14:textId="687100A5" w:rsidR="00D8203B" w:rsidRPr="00A8799B" w:rsidRDefault="00D8203B" w:rsidP="00D8203B">
      <w:pPr>
        <w:pStyle w:val="Caption"/>
        <w:spacing w:before="120"/>
        <w:rPr>
          <w:rFonts w:ascii="Arial" w:hAnsi="Arial" w:cs="Arial"/>
          <w:sz w:val="20"/>
          <w:szCs w:val="20"/>
        </w:rPr>
      </w:pPr>
      <w:bookmarkStart w:id="5" w:name="_Ref465848428"/>
      <w:r w:rsidRPr="00A8799B">
        <w:rPr>
          <w:rFonts w:ascii="Arial" w:hAnsi="Arial" w:cs="Arial"/>
          <w:sz w:val="20"/>
          <w:szCs w:val="20"/>
        </w:rPr>
        <w:t xml:space="preserve">Table </w:t>
      </w:r>
      <w:r w:rsidRPr="0081055B">
        <w:rPr>
          <w:rFonts w:ascii="Arial" w:hAnsi="Arial" w:cs="Arial"/>
          <w:sz w:val="20"/>
          <w:szCs w:val="20"/>
        </w:rPr>
        <w:fldChar w:fldCharType="begin"/>
      </w:r>
      <w:r w:rsidRPr="00A8799B">
        <w:rPr>
          <w:rFonts w:ascii="Arial" w:hAnsi="Arial" w:cs="Arial"/>
          <w:sz w:val="20"/>
          <w:szCs w:val="20"/>
        </w:rPr>
        <w:instrText xml:space="preserve"> SEQ Table \* ARABIC </w:instrText>
      </w:r>
      <w:r w:rsidRPr="0081055B">
        <w:rPr>
          <w:rFonts w:ascii="Arial" w:hAnsi="Arial" w:cs="Arial"/>
          <w:sz w:val="20"/>
          <w:szCs w:val="20"/>
        </w:rPr>
        <w:fldChar w:fldCharType="separate"/>
      </w:r>
      <w:r w:rsidR="003D2702" w:rsidRPr="00A8799B">
        <w:rPr>
          <w:rFonts w:ascii="Arial" w:hAnsi="Arial" w:cs="Arial"/>
          <w:noProof/>
          <w:sz w:val="20"/>
          <w:szCs w:val="20"/>
        </w:rPr>
        <w:t>1</w:t>
      </w:r>
      <w:r w:rsidRPr="0081055B">
        <w:rPr>
          <w:rFonts w:ascii="Arial" w:hAnsi="Arial" w:cs="Arial"/>
          <w:sz w:val="20"/>
          <w:szCs w:val="20"/>
        </w:rPr>
        <w:fldChar w:fldCharType="end"/>
      </w:r>
      <w:bookmarkEnd w:id="5"/>
      <w:r w:rsidRPr="00A8799B">
        <w:rPr>
          <w:rFonts w:ascii="Arial" w:hAnsi="Arial" w:cs="Arial"/>
          <w:sz w:val="20"/>
          <w:szCs w:val="20"/>
        </w:rPr>
        <w:t>. Example a) Handovers decisions based on individual active mode mobility reference signal measurements.</w:t>
      </w:r>
    </w:p>
    <w:tbl>
      <w:tblPr>
        <w:tblStyle w:val="TableGrid"/>
        <w:tblW w:w="0" w:type="auto"/>
        <w:jc w:val="center"/>
        <w:tblLook w:val="04A0" w:firstRow="1" w:lastRow="0" w:firstColumn="1" w:lastColumn="0" w:noHBand="0" w:noVBand="1"/>
      </w:tblPr>
      <w:tblGrid>
        <w:gridCol w:w="2084"/>
        <w:gridCol w:w="510"/>
        <w:gridCol w:w="510"/>
        <w:gridCol w:w="510"/>
        <w:gridCol w:w="510"/>
        <w:gridCol w:w="510"/>
        <w:gridCol w:w="510"/>
      </w:tblGrid>
      <w:tr w:rsidR="00D8203B" w:rsidRPr="0081055B" w14:paraId="72E0BE78" w14:textId="77777777" w:rsidTr="004E0BD6">
        <w:trPr>
          <w:jc w:val="center"/>
        </w:trPr>
        <w:tc>
          <w:tcPr>
            <w:tcW w:w="2084" w:type="dxa"/>
          </w:tcPr>
          <w:p w14:paraId="413D63E9" w14:textId="77777777" w:rsidR="00D8203B" w:rsidRPr="0081055B" w:rsidRDefault="00D8203B" w:rsidP="004E0BD6">
            <w:pPr>
              <w:keepNext/>
              <w:spacing w:before="240"/>
              <w:rPr>
                <w:rFonts w:ascii="Arial" w:hAnsi="Arial" w:cs="Arial"/>
                <w:b/>
                <w:sz w:val="20"/>
                <w:szCs w:val="20"/>
                <w:lang w:val="en-US"/>
              </w:rPr>
            </w:pPr>
            <w:r w:rsidRPr="0081055B">
              <w:rPr>
                <w:rFonts w:ascii="Arial" w:hAnsi="Arial" w:cs="Arial"/>
                <w:b/>
                <w:sz w:val="20"/>
                <w:szCs w:val="20"/>
                <w:lang w:val="en-US"/>
              </w:rPr>
              <w:t>Handover</w:t>
            </w:r>
          </w:p>
        </w:tc>
        <w:tc>
          <w:tcPr>
            <w:tcW w:w="510" w:type="dxa"/>
          </w:tcPr>
          <w:p w14:paraId="6B2EA78D"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w:t>
            </w:r>
          </w:p>
        </w:tc>
        <w:tc>
          <w:tcPr>
            <w:tcW w:w="510" w:type="dxa"/>
          </w:tcPr>
          <w:p w14:paraId="77DEB81E"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1b</w:t>
            </w:r>
          </w:p>
        </w:tc>
        <w:tc>
          <w:tcPr>
            <w:tcW w:w="510" w:type="dxa"/>
          </w:tcPr>
          <w:p w14:paraId="364A4651"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2b</w:t>
            </w:r>
          </w:p>
        </w:tc>
        <w:tc>
          <w:tcPr>
            <w:tcW w:w="510" w:type="dxa"/>
          </w:tcPr>
          <w:p w14:paraId="5A786F29"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3b</w:t>
            </w:r>
          </w:p>
        </w:tc>
        <w:tc>
          <w:tcPr>
            <w:tcW w:w="510" w:type="dxa"/>
          </w:tcPr>
          <w:p w14:paraId="594D5AA6"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4b</w:t>
            </w:r>
          </w:p>
        </w:tc>
        <w:tc>
          <w:tcPr>
            <w:tcW w:w="510" w:type="dxa"/>
          </w:tcPr>
          <w:p w14:paraId="079B7B95"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5b</w:t>
            </w:r>
          </w:p>
        </w:tc>
      </w:tr>
      <w:tr w:rsidR="00D8203B" w:rsidRPr="0081055B" w14:paraId="0EC6F371" w14:textId="77777777" w:rsidTr="004E0BD6">
        <w:trPr>
          <w:jc w:val="center"/>
        </w:trPr>
        <w:tc>
          <w:tcPr>
            <w:tcW w:w="2084" w:type="dxa"/>
          </w:tcPr>
          <w:p w14:paraId="32F7FC67" w14:textId="77777777" w:rsidR="00D8203B" w:rsidRPr="0081055B" w:rsidRDefault="00D8203B" w:rsidP="004E0BD6">
            <w:pPr>
              <w:keepNext/>
              <w:spacing w:before="240"/>
              <w:rPr>
                <w:rFonts w:ascii="Arial" w:hAnsi="Arial" w:cs="Arial"/>
                <w:b/>
                <w:sz w:val="20"/>
                <w:szCs w:val="20"/>
                <w:lang w:val="en-US"/>
              </w:rPr>
            </w:pPr>
            <w:r w:rsidRPr="0081055B">
              <w:rPr>
                <w:rFonts w:ascii="Arial" w:hAnsi="Arial" w:cs="Arial"/>
                <w:b/>
                <w:sz w:val="20"/>
                <w:szCs w:val="20"/>
                <w:lang w:val="en-US"/>
              </w:rPr>
              <w:t>New Serving gNB</w:t>
            </w:r>
          </w:p>
        </w:tc>
        <w:tc>
          <w:tcPr>
            <w:tcW w:w="510" w:type="dxa"/>
            <w:shd w:val="clear" w:color="auto" w:fill="DEEEF7"/>
          </w:tcPr>
          <w:p w14:paraId="6E9ACA2A"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w:t>
            </w:r>
          </w:p>
        </w:tc>
        <w:tc>
          <w:tcPr>
            <w:tcW w:w="510" w:type="dxa"/>
            <w:shd w:val="clear" w:color="auto" w:fill="DEEEF7"/>
          </w:tcPr>
          <w:p w14:paraId="434AA9CA"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w:t>
            </w:r>
          </w:p>
        </w:tc>
        <w:tc>
          <w:tcPr>
            <w:tcW w:w="510" w:type="dxa"/>
            <w:shd w:val="clear" w:color="auto" w:fill="DEEEF7"/>
          </w:tcPr>
          <w:p w14:paraId="22608007"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w:t>
            </w:r>
          </w:p>
        </w:tc>
        <w:tc>
          <w:tcPr>
            <w:tcW w:w="510" w:type="dxa"/>
            <w:shd w:val="clear" w:color="auto" w:fill="C8DBD9"/>
          </w:tcPr>
          <w:p w14:paraId="6B1C579E"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w:t>
            </w:r>
          </w:p>
        </w:tc>
        <w:tc>
          <w:tcPr>
            <w:tcW w:w="510" w:type="dxa"/>
            <w:shd w:val="clear" w:color="auto" w:fill="C8DBD9"/>
          </w:tcPr>
          <w:p w14:paraId="395A48C0"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w:t>
            </w:r>
          </w:p>
        </w:tc>
        <w:tc>
          <w:tcPr>
            <w:tcW w:w="510" w:type="dxa"/>
            <w:shd w:val="clear" w:color="auto" w:fill="C8DBD9"/>
          </w:tcPr>
          <w:p w14:paraId="57A5CD6F"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w:t>
            </w:r>
          </w:p>
        </w:tc>
      </w:tr>
      <w:tr w:rsidR="00D8203B" w:rsidRPr="0081055B" w14:paraId="71159965" w14:textId="77777777" w:rsidTr="004E0BD6">
        <w:trPr>
          <w:jc w:val="center"/>
        </w:trPr>
        <w:tc>
          <w:tcPr>
            <w:tcW w:w="2084" w:type="dxa"/>
          </w:tcPr>
          <w:p w14:paraId="017600E9" w14:textId="77777777" w:rsidR="00D8203B" w:rsidRPr="0081055B" w:rsidRDefault="00D8203B" w:rsidP="004E0BD6">
            <w:pPr>
              <w:keepNext/>
              <w:spacing w:before="240"/>
              <w:rPr>
                <w:rFonts w:ascii="Arial" w:hAnsi="Arial" w:cs="Arial"/>
                <w:b/>
                <w:sz w:val="20"/>
                <w:szCs w:val="20"/>
                <w:lang w:val="en-US"/>
              </w:rPr>
            </w:pPr>
            <w:r w:rsidRPr="0081055B">
              <w:rPr>
                <w:rFonts w:ascii="Arial" w:hAnsi="Arial" w:cs="Arial"/>
                <w:b/>
                <w:sz w:val="20"/>
                <w:szCs w:val="20"/>
                <w:lang w:val="en-US"/>
              </w:rPr>
              <w:t>New Serving Beam</w:t>
            </w:r>
          </w:p>
        </w:tc>
        <w:tc>
          <w:tcPr>
            <w:tcW w:w="510" w:type="dxa"/>
            <w:shd w:val="clear" w:color="auto" w:fill="DEEEF7"/>
          </w:tcPr>
          <w:p w14:paraId="270D895E"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11</w:t>
            </w:r>
          </w:p>
        </w:tc>
        <w:tc>
          <w:tcPr>
            <w:tcW w:w="510" w:type="dxa"/>
            <w:shd w:val="clear" w:color="auto" w:fill="DEEEF7"/>
          </w:tcPr>
          <w:p w14:paraId="4D5BA0C2"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12</w:t>
            </w:r>
          </w:p>
        </w:tc>
        <w:tc>
          <w:tcPr>
            <w:tcW w:w="510" w:type="dxa"/>
            <w:shd w:val="clear" w:color="auto" w:fill="DEEEF7"/>
          </w:tcPr>
          <w:p w14:paraId="4F330E00"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13</w:t>
            </w:r>
          </w:p>
        </w:tc>
        <w:tc>
          <w:tcPr>
            <w:tcW w:w="510" w:type="dxa"/>
            <w:shd w:val="clear" w:color="auto" w:fill="C8DBD9"/>
          </w:tcPr>
          <w:p w14:paraId="74ACFE26"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31</w:t>
            </w:r>
          </w:p>
        </w:tc>
        <w:tc>
          <w:tcPr>
            <w:tcW w:w="510" w:type="dxa"/>
            <w:shd w:val="clear" w:color="auto" w:fill="C8DBD9"/>
          </w:tcPr>
          <w:p w14:paraId="2B9EE414"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32</w:t>
            </w:r>
          </w:p>
        </w:tc>
        <w:tc>
          <w:tcPr>
            <w:tcW w:w="510" w:type="dxa"/>
            <w:shd w:val="clear" w:color="auto" w:fill="C8DBD9"/>
          </w:tcPr>
          <w:p w14:paraId="09A098E1" w14:textId="77777777" w:rsidR="00D8203B" w:rsidRPr="0081055B" w:rsidRDefault="00D8203B" w:rsidP="004E0BD6">
            <w:pPr>
              <w:keepNext/>
              <w:spacing w:before="240"/>
              <w:jc w:val="center"/>
              <w:rPr>
                <w:rFonts w:ascii="Arial" w:hAnsi="Arial" w:cs="Arial"/>
                <w:b/>
                <w:sz w:val="20"/>
                <w:szCs w:val="20"/>
                <w:lang w:val="en-US"/>
              </w:rPr>
            </w:pPr>
            <w:r w:rsidRPr="0081055B">
              <w:rPr>
                <w:rFonts w:ascii="Arial" w:hAnsi="Arial" w:cs="Arial"/>
                <w:b/>
                <w:sz w:val="20"/>
                <w:szCs w:val="20"/>
                <w:lang w:val="en-US"/>
              </w:rPr>
              <w:t>33</w:t>
            </w:r>
          </w:p>
        </w:tc>
      </w:tr>
    </w:tbl>
    <w:p w14:paraId="64AAB798" w14:textId="733D1A22" w:rsidR="00D8203B" w:rsidRPr="00A8799B" w:rsidRDefault="00D8203B" w:rsidP="00D8203B">
      <w:pPr>
        <w:pStyle w:val="Caption"/>
        <w:spacing w:before="120"/>
        <w:rPr>
          <w:rFonts w:ascii="Arial" w:hAnsi="Arial" w:cs="Arial"/>
          <w:sz w:val="20"/>
          <w:szCs w:val="20"/>
        </w:rPr>
      </w:pPr>
      <w:bookmarkStart w:id="6" w:name="_Ref465849240"/>
      <w:r w:rsidRPr="00A8799B">
        <w:rPr>
          <w:rFonts w:ascii="Arial" w:hAnsi="Arial" w:cs="Arial"/>
          <w:sz w:val="20"/>
          <w:szCs w:val="20"/>
        </w:rPr>
        <w:t xml:space="preserve">Table </w:t>
      </w:r>
      <w:r w:rsidRPr="0081055B">
        <w:rPr>
          <w:rFonts w:ascii="Arial" w:hAnsi="Arial" w:cs="Arial"/>
          <w:sz w:val="20"/>
          <w:szCs w:val="20"/>
        </w:rPr>
        <w:fldChar w:fldCharType="begin"/>
      </w:r>
      <w:r w:rsidRPr="00A8799B">
        <w:rPr>
          <w:rFonts w:ascii="Arial" w:hAnsi="Arial" w:cs="Arial"/>
          <w:sz w:val="20"/>
          <w:szCs w:val="20"/>
        </w:rPr>
        <w:instrText xml:space="preserve"> SEQ Table \* ARABIC </w:instrText>
      </w:r>
      <w:r w:rsidRPr="0081055B">
        <w:rPr>
          <w:rFonts w:ascii="Arial" w:hAnsi="Arial" w:cs="Arial"/>
          <w:sz w:val="20"/>
          <w:szCs w:val="20"/>
        </w:rPr>
        <w:fldChar w:fldCharType="separate"/>
      </w:r>
      <w:r w:rsidR="003D2702" w:rsidRPr="00A8799B">
        <w:rPr>
          <w:rFonts w:ascii="Arial" w:hAnsi="Arial" w:cs="Arial"/>
          <w:noProof/>
          <w:sz w:val="20"/>
          <w:szCs w:val="20"/>
        </w:rPr>
        <w:t>2</w:t>
      </w:r>
      <w:r w:rsidRPr="0081055B">
        <w:rPr>
          <w:rFonts w:ascii="Arial" w:hAnsi="Arial" w:cs="Arial"/>
          <w:sz w:val="20"/>
          <w:szCs w:val="20"/>
        </w:rPr>
        <w:fldChar w:fldCharType="end"/>
      </w:r>
      <w:bookmarkEnd w:id="6"/>
      <w:r w:rsidRPr="00A8799B">
        <w:rPr>
          <w:rFonts w:ascii="Arial" w:hAnsi="Arial" w:cs="Arial"/>
          <w:sz w:val="20"/>
          <w:szCs w:val="20"/>
        </w:rPr>
        <w:t>. Example b) Handovers decisions based on groups of active mode mobility reference signal measurements.</w:t>
      </w:r>
    </w:p>
    <w:p w14:paraId="04521E76" w14:textId="77777777" w:rsidR="00D8203B" w:rsidRPr="00A8799B" w:rsidRDefault="00D8203B" w:rsidP="00D8203B">
      <w:pPr>
        <w:pStyle w:val="Observation"/>
      </w:pPr>
      <w:bookmarkStart w:id="7" w:name="_Ref465866186"/>
      <w:r w:rsidRPr="00A8799B">
        <w:t xml:space="preserve">It is beneficial to trigger mobility events based on the quality of groups of beams </w:t>
      </w:r>
      <w:bookmarkEnd w:id="7"/>
    </w:p>
    <w:p w14:paraId="5D6738FB" w14:textId="54B9A18F" w:rsidR="00D8203B" w:rsidRPr="0081055B" w:rsidRDefault="00D8203B" w:rsidP="00D8203B">
      <w:pPr>
        <w:pStyle w:val="TOC1"/>
        <w:ind w:left="0" w:firstLine="0"/>
        <w:jc w:val="both"/>
        <w:rPr>
          <w:rFonts w:cs="Arial"/>
          <w:b w:val="0"/>
          <w:kern w:val="2"/>
          <w:szCs w:val="20"/>
        </w:rPr>
      </w:pPr>
      <w:r w:rsidRPr="0081055B">
        <w:rPr>
          <w:rFonts w:cs="Arial"/>
          <w:b w:val="0"/>
          <w:kern w:val="2"/>
          <w:szCs w:val="20"/>
        </w:rPr>
        <w:t xml:space="preserve">What is fundamentally necessary is to group beams </w:t>
      </w:r>
      <w:r w:rsidR="005074FA">
        <w:rPr>
          <w:rFonts w:cs="Arial"/>
          <w:b w:val="0"/>
          <w:kern w:val="2"/>
          <w:szCs w:val="20"/>
        </w:rPr>
        <w:t xml:space="preserve">at least </w:t>
      </w:r>
      <w:r w:rsidRPr="0081055B">
        <w:rPr>
          <w:rFonts w:cs="Arial"/>
          <w:b w:val="0"/>
          <w:kern w:val="2"/>
          <w:szCs w:val="20"/>
        </w:rPr>
        <w:t>per TRP in order to avoid too many measurement reports and/or ping-pong handovers. Obviously a natural choice, as proposed by some companies, is to simply assume that this group of beams is defined as a cell. In simplified deployments, e.g. where each cell is defined by a TRP, this is indeed sufficient. Each UE will trigger measurements based on some combined quality of beams from the same cell i.e. from the same TRP.</w:t>
      </w:r>
    </w:p>
    <w:p w14:paraId="5C01E427" w14:textId="77777777" w:rsidR="00D8203B" w:rsidRPr="0081055B" w:rsidRDefault="00D8203B" w:rsidP="00D8203B">
      <w:pPr>
        <w:pStyle w:val="TOC1"/>
        <w:ind w:left="0" w:firstLine="0"/>
        <w:jc w:val="both"/>
        <w:rPr>
          <w:rFonts w:cs="Arial"/>
          <w:b w:val="0"/>
          <w:kern w:val="2"/>
          <w:szCs w:val="20"/>
        </w:rPr>
      </w:pPr>
    </w:p>
    <w:p w14:paraId="4F9A8662" w14:textId="77777777" w:rsidR="00D8203B" w:rsidRPr="00A8799B" w:rsidRDefault="00D8203B" w:rsidP="00D8203B">
      <w:pPr>
        <w:pStyle w:val="Observation"/>
        <w:rPr>
          <w:rFonts w:ascii="Arial" w:hAnsi="Arial" w:cs="Arial"/>
          <w:sz w:val="20"/>
          <w:szCs w:val="20"/>
        </w:rPr>
      </w:pPr>
      <w:r w:rsidRPr="00A8799B">
        <w:rPr>
          <w:rFonts w:ascii="Arial" w:hAnsi="Arial" w:cs="Arial"/>
          <w:sz w:val="20"/>
          <w:szCs w:val="20"/>
        </w:rPr>
        <w:t>In single TRP cells mobility events can rely on groups of beams per cell</w:t>
      </w:r>
    </w:p>
    <w:p w14:paraId="76222BC0" w14:textId="474AAC05" w:rsidR="00D8203B" w:rsidRPr="0081055B" w:rsidRDefault="00D8203B" w:rsidP="00D8203B">
      <w:pPr>
        <w:pStyle w:val="TOC1"/>
        <w:ind w:left="0" w:firstLine="0"/>
        <w:jc w:val="both"/>
        <w:rPr>
          <w:rFonts w:cs="Arial"/>
          <w:b w:val="0"/>
          <w:kern w:val="2"/>
          <w:szCs w:val="20"/>
        </w:rPr>
      </w:pPr>
      <w:r w:rsidRPr="0081055B">
        <w:rPr>
          <w:rFonts w:cs="Arial"/>
          <w:b w:val="0"/>
          <w:kern w:val="2"/>
          <w:szCs w:val="20"/>
        </w:rPr>
        <w:t xml:space="preserve">On the other hand we believe this definition is not sufficient </w:t>
      </w:r>
      <w:r w:rsidR="00897CF4">
        <w:rPr>
          <w:rFonts w:cs="Arial"/>
          <w:b w:val="0"/>
          <w:kern w:val="2"/>
          <w:szCs w:val="20"/>
        </w:rPr>
        <w:t xml:space="preserve">and </w:t>
      </w:r>
      <w:r w:rsidRPr="0081055B">
        <w:rPr>
          <w:rFonts w:cs="Arial"/>
          <w:b w:val="0"/>
          <w:kern w:val="2"/>
          <w:szCs w:val="20"/>
        </w:rPr>
        <w:t>unnecessarily restrictive. For example, it can be beneficial to configure UEs to trigger measurement reports based on group of beams in other granularities such as beams transmitted per TRP. In deployments of large cells comprised of many TRPs the network could benefit of receiving measurement reports per TRP instead of being forced to always rely on beam management procedures that may require more configuration and might not be easily performed in scenarios where these TRPs are linked with non-ideal backhaul.</w:t>
      </w:r>
      <w:r w:rsidR="005074FA">
        <w:rPr>
          <w:rFonts w:cs="Arial"/>
          <w:b w:val="0"/>
          <w:kern w:val="2"/>
          <w:szCs w:val="20"/>
        </w:rPr>
        <w:t xml:space="preserve"> Also, considering that now the network can also configure the UE to measure on IDLE RS there may always be the possilbity to have a cell measurements available.</w:t>
      </w:r>
    </w:p>
    <w:p w14:paraId="17F54FE6" w14:textId="77777777" w:rsidR="00D8203B" w:rsidRPr="0081055B" w:rsidRDefault="00D8203B" w:rsidP="00D8203B">
      <w:pPr>
        <w:pStyle w:val="TOC1"/>
        <w:ind w:left="0" w:firstLine="0"/>
        <w:jc w:val="center"/>
        <w:rPr>
          <w:rFonts w:cs="Arial"/>
          <w:b w:val="0"/>
          <w:kern w:val="2"/>
          <w:szCs w:val="20"/>
        </w:rPr>
      </w:pPr>
    </w:p>
    <w:p w14:paraId="3906FACE" w14:textId="77777777" w:rsidR="00D8203B" w:rsidRPr="00A8799B" w:rsidRDefault="00D8203B" w:rsidP="00D8203B">
      <w:pPr>
        <w:pStyle w:val="Observation"/>
        <w:rPr>
          <w:rFonts w:ascii="Arial" w:hAnsi="Arial" w:cs="Arial"/>
          <w:sz w:val="20"/>
          <w:szCs w:val="20"/>
        </w:rPr>
      </w:pPr>
      <w:r w:rsidRPr="00A8799B">
        <w:rPr>
          <w:rFonts w:ascii="Arial" w:hAnsi="Arial" w:cs="Arial"/>
          <w:sz w:val="20"/>
          <w:szCs w:val="20"/>
        </w:rPr>
        <w:t>In some deployments the triggering of mobility events per cell is too restrictive</w:t>
      </w:r>
    </w:p>
    <w:p w14:paraId="5BD078EA" w14:textId="6DAECB10" w:rsidR="00D8203B" w:rsidRPr="00A8799B" w:rsidRDefault="00D8203B" w:rsidP="00D8203B">
      <w:pPr>
        <w:pStyle w:val="Proposal"/>
        <w:tabs>
          <w:tab w:val="num" w:pos="1304"/>
        </w:tabs>
        <w:rPr>
          <w:rFonts w:ascii="Arial" w:hAnsi="Arial" w:cs="Arial"/>
          <w:sz w:val="20"/>
          <w:szCs w:val="20"/>
        </w:rPr>
      </w:pPr>
      <w:r w:rsidRPr="00A8799B">
        <w:rPr>
          <w:rFonts w:ascii="Arial" w:hAnsi="Arial" w:cs="Arial"/>
          <w:sz w:val="20"/>
          <w:szCs w:val="20"/>
        </w:rPr>
        <w:t>Mobility events should be configurable for groups of beam</w:t>
      </w:r>
      <w:r w:rsidR="005074FA" w:rsidRPr="00A8799B">
        <w:rPr>
          <w:rFonts w:ascii="Arial" w:hAnsi="Arial" w:cs="Arial"/>
          <w:sz w:val="20"/>
          <w:szCs w:val="20"/>
        </w:rPr>
        <w:t>s</w:t>
      </w:r>
      <w:r w:rsidR="00857875" w:rsidRPr="00A8799B">
        <w:rPr>
          <w:rFonts w:ascii="Arial" w:hAnsi="Arial" w:cs="Arial"/>
          <w:sz w:val="20"/>
          <w:szCs w:val="20"/>
        </w:rPr>
        <w:t xml:space="preserve"> </w:t>
      </w:r>
      <w:r w:rsidR="005074FA" w:rsidRPr="00A8799B">
        <w:rPr>
          <w:rFonts w:ascii="Arial" w:hAnsi="Arial" w:cs="Arial"/>
          <w:sz w:val="20"/>
          <w:szCs w:val="20"/>
        </w:rPr>
        <w:t>(based on additional RS)</w:t>
      </w:r>
      <w:r w:rsidRPr="00A8799B">
        <w:rPr>
          <w:rFonts w:ascii="Arial" w:hAnsi="Arial" w:cs="Arial"/>
          <w:sz w:val="20"/>
          <w:szCs w:val="20"/>
        </w:rPr>
        <w:t xml:space="preserve"> not restricted to all beams belonging to a cell e.g. per TRP</w:t>
      </w:r>
    </w:p>
    <w:p w14:paraId="67BB9F2B" w14:textId="77777777" w:rsidR="00D8203B" w:rsidRPr="0081055B" w:rsidRDefault="00D8203B" w:rsidP="00D8203B">
      <w:pPr>
        <w:pStyle w:val="TOC1"/>
        <w:ind w:left="0" w:firstLine="0"/>
        <w:jc w:val="both"/>
        <w:rPr>
          <w:rFonts w:cs="Arial"/>
          <w:b w:val="0"/>
          <w:kern w:val="2"/>
          <w:szCs w:val="20"/>
        </w:rPr>
      </w:pPr>
    </w:p>
    <w:p w14:paraId="23D61F9F" w14:textId="77777777" w:rsidR="00D8203B" w:rsidRPr="0081055B" w:rsidRDefault="00D8203B" w:rsidP="00D8203B">
      <w:pPr>
        <w:pStyle w:val="TOC1"/>
        <w:ind w:left="0" w:firstLine="0"/>
        <w:jc w:val="both"/>
        <w:rPr>
          <w:rFonts w:cs="Arial"/>
          <w:b w:val="0"/>
          <w:kern w:val="2"/>
          <w:szCs w:val="20"/>
        </w:rPr>
      </w:pPr>
      <w:r w:rsidRPr="0081055B">
        <w:rPr>
          <w:rFonts w:cs="Arial"/>
          <w:b w:val="0"/>
          <w:kern w:val="2"/>
          <w:szCs w:val="20"/>
        </w:rPr>
        <w:t>In the intra-RAT measurement report triggering events specified for LTE, measurements on serving (primary and secondary) and neighboring cells are considered (events A1-A5), but also measurements on CSI-RS (Event C1-C2). The events focus on cells (or, in the CSI-RS case, the CSI-RS resource) becoming better/worse than one or more given threshold(s), or offset better than another cell (or CSI-RS resource). The slogans of the LTE events are given below.</w:t>
      </w:r>
    </w:p>
    <w:p w14:paraId="6887D8EC" w14:textId="77777777" w:rsidR="00D8203B" w:rsidRPr="0081055B" w:rsidRDefault="00D8203B" w:rsidP="00D8203B">
      <w:pPr>
        <w:pStyle w:val="TOC1"/>
        <w:ind w:left="0" w:firstLine="0"/>
        <w:jc w:val="both"/>
        <w:rPr>
          <w:rFonts w:cs="Arial"/>
          <w:b w:val="0"/>
          <w:kern w:val="2"/>
          <w:szCs w:val="20"/>
        </w:rPr>
      </w:pPr>
    </w:p>
    <w:p w14:paraId="3E99BE7C"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A1: Serving becomes better than threshold</w:t>
      </w:r>
    </w:p>
    <w:p w14:paraId="2B2D7257"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A2: Serving becomes worse than threshold</w:t>
      </w:r>
    </w:p>
    <w:p w14:paraId="09883E8A"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A3: Neighbour becomes offset better than PCell/ PSCell</w:t>
      </w:r>
    </w:p>
    <w:p w14:paraId="4AD3D9D2"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A4: Neighbour becomes better than threshold</w:t>
      </w:r>
    </w:p>
    <w:p w14:paraId="3C583524"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A5: PCell/ PSCell becomes worse than threshold1 and neighbour becomes better than threshold2</w:t>
      </w:r>
    </w:p>
    <w:p w14:paraId="1EFB767B"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A6: Neighbour becomes offset better than SCell</w:t>
      </w:r>
    </w:p>
    <w:p w14:paraId="2FFCFC57"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C1: CSI-RS resource becomes better than threshold</w:t>
      </w:r>
    </w:p>
    <w:p w14:paraId="17695D2A" w14:textId="77777777" w:rsidR="00D8203B" w:rsidRPr="0081055B" w:rsidRDefault="00D8203B" w:rsidP="00D8203B">
      <w:pPr>
        <w:pStyle w:val="TOC1"/>
        <w:numPr>
          <w:ilvl w:val="0"/>
          <w:numId w:val="14"/>
        </w:numPr>
        <w:spacing w:before="0"/>
        <w:ind w:left="714" w:hanging="357"/>
        <w:rPr>
          <w:rFonts w:eastAsia="Malgun Gothic" w:cs="Arial"/>
          <w:b w:val="0"/>
          <w:szCs w:val="20"/>
          <w:lang w:eastAsia="ko-KR"/>
        </w:rPr>
      </w:pPr>
      <w:r w:rsidRPr="0081055B">
        <w:rPr>
          <w:rFonts w:cs="Arial"/>
          <w:b w:val="0"/>
          <w:szCs w:val="20"/>
        </w:rPr>
        <w:t>Event C2: CSI-RS resource becomes offset better than reference CSI-RS resource</w:t>
      </w:r>
    </w:p>
    <w:p w14:paraId="4027D9A4" w14:textId="77777777" w:rsidR="00D8203B" w:rsidRPr="0081055B" w:rsidRDefault="00D8203B" w:rsidP="00D8203B">
      <w:pPr>
        <w:pStyle w:val="TOC1"/>
        <w:ind w:left="0" w:firstLine="0"/>
        <w:rPr>
          <w:rFonts w:cs="Arial"/>
          <w:b w:val="0"/>
          <w:kern w:val="2"/>
          <w:szCs w:val="20"/>
          <w:lang w:val="en-GB"/>
        </w:rPr>
      </w:pPr>
    </w:p>
    <w:p w14:paraId="53D54A0F" w14:textId="2BCB34EA" w:rsidR="00D8203B" w:rsidRPr="00A8799B" w:rsidRDefault="00D8203B" w:rsidP="005074FA">
      <w:pPr>
        <w:pStyle w:val="Observation"/>
        <w:numPr>
          <w:ilvl w:val="0"/>
          <w:numId w:val="0"/>
        </w:numPr>
        <w:jc w:val="both"/>
        <w:rPr>
          <w:rFonts w:ascii="Arial" w:hAnsi="Arial" w:cs="Arial"/>
          <w:b w:val="0"/>
          <w:kern w:val="2"/>
          <w:sz w:val="20"/>
          <w:szCs w:val="20"/>
        </w:rPr>
      </w:pPr>
      <w:r w:rsidRPr="00A8799B">
        <w:rPr>
          <w:rFonts w:ascii="Arial" w:hAnsi="Arial" w:cs="Arial"/>
          <w:b w:val="0"/>
          <w:kern w:val="2"/>
          <w:sz w:val="20"/>
          <w:szCs w:val="20"/>
        </w:rPr>
        <w:t xml:space="preserve">In RAN2#96, it was agreed that the mobility events (A1-A6) inspired in the ones defined for LTE could be used. </w:t>
      </w:r>
      <w:r w:rsidR="005074FA" w:rsidRPr="00A8799B">
        <w:rPr>
          <w:rFonts w:ascii="Arial" w:hAnsi="Arial" w:cs="Arial"/>
          <w:b w:val="0"/>
          <w:kern w:val="2"/>
          <w:sz w:val="20"/>
          <w:szCs w:val="20"/>
        </w:rPr>
        <w:t xml:space="preserve">If </w:t>
      </w:r>
      <w:r w:rsidRPr="00A8799B">
        <w:rPr>
          <w:rFonts w:ascii="Arial" w:hAnsi="Arial" w:cs="Arial"/>
          <w:b w:val="0"/>
          <w:kern w:val="2"/>
          <w:sz w:val="20"/>
          <w:szCs w:val="20"/>
        </w:rPr>
        <w:t>beam</w:t>
      </w:r>
      <w:r w:rsidR="005074FA" w:rsidRPr="00A8799B">
        <w:rPr>
          <w:rFonts w:ascii="Arial" w:hAnsi="Arial" w:cs="Arial"/>
          <w:b w:val="0"/>
          <w:kern w:val="2"/>
          <w:sz w:val="20"/>
          <w:szCs w:val="20"/>
        </w:rPr>
        <w:t xml:space="preserve">formed </w:t>
      </w:r>
      <w:r w:rsidR="008C27A6" w:rsidRPr="00A8799B">
        <w:rPr>
          <w:rFonts w:ascii="Arial" w:hAnsi="Arial" w:cs="Arial"/>
          <w:b w:val="0"/>
          <w:kern w:val="2"/>
          <w:sz w:val="20"/>
          <w:szCs w:val="20"/>
        </w:rPr>
        <w:t xml:space="preserve">additional </w:t>
      </w:r>
      <w:r w:rsidRPr="00A8799B">
        <w:rPr>
          <w:rFonts w:ascii="Arial" w:hAnsi="Arial" w:cs="Arial"/>
          <w:b w:val="0"/>
          <w:kern w:val="2"/>
          <w:sz w:val="20"/>
          <w:szCs w:val="20"/>
        </w:rPr>
        <w:t xml:space="preserve">RSs can be grouped in other levels of granularity in addition to the cell level new mobility events would need to be further considered. </w:t>
      </w:r>
    </w:p>
    <w:p w14:paraId="3887075A" w14:textId="568D17E5" w:rsidR="00D8203B" w:rsidRPr="00A8799B" w:rsidRDefault="00D8203B" w:rsidP="00D8203B">
      <w:pPr>
        <w:pStyle w:val="Observation"/>
        <w:numPr>
          <w:ilvl w:val="0"/>
          <w:numId w:val="0"/>
        </w:numPr>
        <w:rPr>
          <w:rFonts w:ascii="Arial" w:hAnsi="Arial" w:cs="Arial"/>
          <w:b w:val="0"/>
          <w:kern w:val="2"/>
          <w:sz w:val="20"/>
          <w:szCs w:val="20"/>
        </w:rPr>
      </w:pPr>
      <w:r w:rsidRPr="00A8799B">
        <w:rPr>
          <w:rFonts w:ascii="Arial" w:hAnsi="Arial" w:cs="Arial"/>
          <w:b w:val="0"/>
          <w:kern w:val="2"/>
          <w:sz w:val="20"/>
          <w:szCs w:val="20"/>
        </w:rPr>
        <w:t>For example, an NR equivalent of even A1, denoted NR</w:t>
      </w:r>
      <w:r w:rsidR="005074FA" w:rsidRPr="00A8799B">
        <w:rPr>
          <w:rFonts w:ascii="Arial" w:hAnsi="Arial" w:cs="Arial"/>
          <w:b w:val="0"/>
          <w:kern w:val="2"/>
          <w:sz w:val="20"/>
          <w:szCs w:val="20"/>
        </w:rPr>
        <w:t>-</w:t>
      </w:r>
      <w:r w:rsidRPr="00A8799B">
        <w:rPr>
          <w:rFonts w:ascii="Arial" w:hAnsi="Arial" w:cs="Arial"/>
          <w:b w:val="0"/>
          <w:kern w:val="2"/>
          <w:sz w:val="20"/>
          <w:szCs w:val="20"/>
        </w:rPr>
        <w:t>A1 could be “Strongest beam group of serving cell becomes better than threshold”.</w:t>
      </w:r>
      <w:r w:rsidR="005074FA" w:rsidRPr="00A8799B">
        <w:rPr>
          <w:rFonts w:ascii="Arial" w:hAnsi="Arial" w:cs="Arial"/>
          <w:b w:val="0"/>
          <w:kern w:val="2"/>
          <w:sz w:val="20"/>
          <w:szCs w:val="20"/>
        </w:rPr>
        <w:t xml:space="preserve"> Then, the network has always the possibility to configure groups of beams as cells.</w:t>
      </w:r>
    </w:p>
    <w:p w14:paraId="7C29787E" w14:textId="02299E53" w:rsidR="003C2E22" w:rsidRPr="00A8799B" w:rsidRDefault="005074FA" w:rsidP="00B2194D">
      <w:pPr>
        <w:pStyle w:val="Proposal"/>
        <w:tabs>
          <w:tab w:val="num" w:pos="1304"/>
        </w:tabs>
        <w:rPr>
          <w:rFonts w:ascii="Arial" w:hAnsi="Arial" w:cs="Arial"/>
          <w:sz w:val="20"/>
          <w:szCs w:val="20"/>
        </w:rPr>
      </w:pPr>
      <w:bookmarkStart w:id="8" w:name="_Ref465866249"/>
      <w:r w:rsidRPr="00A8799B">
        <w:rPr>
          <w:rFonts w:ascii="Arial" w:hAnsi="Arial" w:cs="Arial"/>
          <w:sz w:val="20"/>
          <w:szCs w:val="20"/>
        </w:rPr>
        <w:t xml:space="preserve">New events A1’-A6’ should be defined in NR to support the notion of group of beams </w:t>
      </w:r>
      <w:bookmarkEnd w:id="8"/>
      <w:r w:rsidRPr="00A8799B">
        <w:rPr>
          <w:rFonts w:ascii="Arial" w:hAnsi="Arial" w:cs="Arial"/>
          <w:sz w:val="20"/>
          <w:szCs w:val="20"/>
        </w:rPr>
        <w:t>associated to beamformed additional RS</w:t>
      </w:r>
    </w:p>
    <w:p w14:paraId="340FE55F" w14:textId="4DCCC6DD" w:rsidR="003C2E22" w:rsidRPr="00A8799B" w:rsidRDefault="003C2E22" w:rsidP="00B2194D">
      <w:pPr>
        <w:pStyle w:val="Observation"/>
        <w:numPr>
          <w:ilvl w:val="0"/>
          <w:numId w:val="0"/>
        </w:numPr>
        <w:jc w:val="both"/>
        <w:rPr>
          <w:rFonts w:ascii="Arial" w:hAnsi="Arial" w:cs="Arial"/>
          <w:b w:val="0"/>
          <w:kern w:val="2"/>
          <w:sz w:val="20"/>
          <w:szCs w:val="20"/>
        </w:rPr>
      </w:pPr>
      <w:r w:rsidRPr="00A8799B">
        <w:rPr>
          <w:rFonts w:ascii="Arial" w:hAnsi="Arial" w:cs="Arial"/>
          <w:b w:val="0"/>
          <w:kern w:val="2"/>
          <w:sz w:val="20"/>
          <w:szCs w:val="20"/>
        </w:rPr>
        <w:t>While this paper has discussed the definition of mobility events associated to the IDLE RS and the additional RS, another paper provides a further discussion on filtering modeling for cell based and beam based events</w:t>
      </w:r>
      <w:r w:rsidR="00B2194D" w:rsidRPr="00A8799B">
        <w:rPr>
          <w:rFonts w:ascii="Arial" w:hAnsi="Arial" w:cs="Arial"/>
          <w:b w:val="0"/>
          <w:kern w:val="2"/>
          <w:sz w:val="20"/>
          <w:szCs w:val="20"/>
        </w:rPr>
        <w:t xml:space="preserve"> </w:t>
      </w:r>
      <w:r w:rsidR="00B2194D">
        <w:rPr>
          <w:rFonts w:ascii="Arial" w:hAnsi="Arial" w:cs="Arial"/>
          <w:b w:val="0"/>
          <w:kern w:val="2"/>
          <w:sz w:val="20"/>
          <w:szCs w:val="20"/>
        </w:rPr>
        <w:fldChar w:fldCharType="begin"/>
      </w:r>
      <w:r w:rsidR="00B2194D" w:rsidRPr="00A8799B">
        <w:rPr>
          <w:rFonts w:ascii="Arial" w:hAnsi="Arial" w:cs="Arial"/>
          <w:b w:val="0"/>
          <w:kern w:val="2"/>
          <w:sz w:val="20"/>
          <w:szCs w:val="20"/>
        </w:rPr>
        <w:instrText xml:space="preserve"> REF _Ref473911370 \n \h </w:instrText>
      </w:r>
      <w:r w:rsidR="00B2194D">
        <w:rPr>
          <w:rFonts w:ascii="Arial" w:hAnsi="Arial" w:cs="Arial"/>
          <w:b w:val="0"/>
          <w:kern w:val="2"/>
          <w:sz w:val="20"/>
          <w:szCs w:val="20"/>
        </w:rPr>
      </w:r>
      <w:r w:rsidR="00B2194D">
        <w:rPr>
          <w:rFonts w:ascii="Arial" w:hAnsi="Arial" w:cs="Arial"/>
          <w:b w:val="0"/>
          <w:kern w:val="2"/>
          <w:sz w:val="20"/>
          <w:szCs w:val="20"/>
        </w:rPr>
        <w:fldChar w:fldCharType="separate"/>
      </w:r>
      <w:r w:rsidR="00B2194D" w:rsidRPr="00A8799B">
        <w:rPr>
          <w:rFonts w:ascii="Arial" w:hAnsi="Arial" w:cs="Arial"/>
          <w:b w:val="0"/>
          <w:kern w:val="2"/>
          <w:sz w:val="20"/>
          <w:szCs w:val="20"/>
        </w:rPr>
        <w:t>[6]</w:t>
      </w:r>
      <w:r w:rsidR="00B2194D">
        <w:rPr>
          <w:rFonts w:ascii="Arial" w:hAnsi="Arial" w:cs="Arial"/>
          <w:b w:val="0"/>
          <w:kern w:val="2"/>
          <w:sz w:val="20"/>
          <w:szCs w:val="20"/>
        </w:rPr>
        <w:fldChar w:fldCharType="end"/>
      </w:r>
      <w:r w:rsidRPr="00A8799B">
        <w:rPr>
          <w:rFonts w:ascii="Arial" w:hAnsi="Arial" w:cs="Arial"/>
          <w:b w:val="0"/>
          <w:kern w:val="2"/>
          <w:sz w:val="20"/>
          <w:szCs w:val="20"/>
        </w:rPr>
        <w:t>.</w:t>
      </w:r>
    </w:p>
    <w:p w14:paraId="0EA3E36A" w14:textId="77777777" w:rsidR="00D8203B" w:rsidRPr="0081055B" w:rsidRDefault="00D8203B" w:rsidP="00D8203B">
      <w:pPr>
        <w:pStyle w:val="Heading1"/>
        <w:rPr>
          <w:lang w:val="en-US"/>
        </w:rPr>
      </w:pPr>
      <w:bookmarkStart w:id="9" w:name="_Toc461106288"/>
      <w:bookmarkEnd w:id="3"/>
      <w:bookmarkEnd w:id="9"/>
      <w:r w:rsidRPr="0081055B">
        <w:rPr>
          <w:lang w:val="en-US"/>
        </w:rPr>
        <w:t>Conclusion</w:t>
      </w:r>
    </w:p>
    <w:p w14:paraId="405819CC" w14:textId="77777777" w:rsidR="00D8203B" w:rsidRPr="00A8799B" w:rsidRDefault="00D8203B" w:rsidP="00D8203B">
      <w:pPr>
        <w:pStyle w:val="Proposal"/>
        <w:numPr>
          <w:ilvl w:val="0"/>
          <w:numId w:val="0"/>
        </w:numPr>
        <w:rPr>
          <w:rFonts w:ascii="Arial" w:hAnsi="Arial" w:cs="Arial"/>
          <w:b w:val="0"/>
          <w:sz w:val="20"/>
        </w:rPr>
      </w:pPr>
      <w:r w:rsidRPr="00A8799B">
        <w:rPr>
          <w:rFonts w:ascii="Arial" w:hAnsi="Arial" w:cs="Arial"/>
          <w:b w:val="0"/>
          <w:sz w:val="20"/>
        </w:rPr>
        <w:t>In this contribution, the following observations were made:</w:t>
      </w:r>
    </w:p>
    <w:p w14:paraId="6AD3DA3C" w14:textId="3702365E" w:rsidR="004809B5" w:rsidRPr="00A8799B" w:rsidRDefault="004809B5" w:rsidP="004809B5">
      <w:pPr>
        <w:pStyle w:val="Observation"/>
        <w:numPr>
          <w:ilvl w:val="0"/>
          <w:numId w:val="0"/>
        </w:numPr>
        <w:ind w:left="1701" w:hanging="1701"/>
        <w:rPr>
          <w:rFonts w:ascii="Arial" w:hAnsi="Arial" w:cs="Arial"/>
          <w:sz w:val="20"/>
        </w:rPr>
      </w:pPr>
      <w:r w:rsidRPr="00A8799B">
        <w:rPr>
          <w:rFonts w:ascii="Arial" w:hAnsi="Arial" w:cs="Arial"/>
          <w:sz w:val="20"/>
        </w:rPr>
        <w:t>Observation 1</w:t>
      </w:r>
      <w:r w:rsidRPr="00A8799B">
        <w:rPr>
          <w:rFonts w:ascii="Arial" w:hAnsi="Arial" w:cs="Arial"/>
          <w:sz w:val="20"/>
        </w:rPr>
        <w:tab/>
        <w:t>Having cell-based events for the IDLE RS encoding cell ID and having beam-based events for the beamformed additional RS seems to be reasonable</w:t>
      </w:r>
    </w:p>
    <w:p w14:paraId="38D71EFF" w14:textId="38CC028F" w:rsidR="004809B5" w:rsidRPr="00A8799B" w:rsidRDefault="004809B5" w:rsidP="004809B5">
      <w:pPr>
        <w:pStyle w:val="Observation"/>
        <w:numPr>
          <w:ilvl w:val="0"/>
          <w:numId w:val="0"/>
        </w:numPr>
        <w:ind w:left="1701" w:hanging="1701"/>
        <w:rPr>
          <w:rFonts w:ascii="Arial" w:hAnsi="Arial" w:cs="Arial"/>
          <w:sz w:val="20"/>
        </w:rPr>
      </w:pPr>
      <w:r w:rsidRPr="00A8799B">
        <w:rPr>
          <w:rFonts w:ascii="Arial" w:hAnsi="Arial" w:cs="Arial"/>
          <w:sz w:val="20"/>
        </w:rPr>
        <w:t>Observation 2</w:t>
      </w:r>
      <w:r w:rsidRPr="00A8799B">
        <w:rPr>
          <w:rFonts w:ascii="Arial" w:hAnsi="Arial" w:cs="Arial"/>
          <w:sz w:val="20"/>
        </w:rPr>
        <w:tab/>
        <w:t>It is an open question whether there should be mobility events associated to the beamformed additional RS required to be defined per cell and/or any other kind of group of beams</w:t>
      </w:r>
    </w:p>
    <w:p w14:paraId="058AEFBC" w14:textId="47EB2A0D" w:rsidR="004809B5" w:rsidRPr="00A8799B" w:rsidRDefault="004809B5" w:rsidP="004809B5">
      <w:pPr>
        <w:pStyle w:val="Observation"/>
        <w:numPr>
          <w:ilvl w:val="0"/>
          <w:numId w:val="0"/>
        </w:numPr>
        <w:ind w:left="1701" w:hanging="1701"/>
        <w:rPr>
          <w:rFonts w:ascii="Arial" w:hAnsi="Arial" w:cs="Arial"/>
          <w:sz w:val="20"/>
        </w:rPr>
      </w:pPr>
      <w:r w:rsidRPr="00A8799B">
        <w:rPr>
          <w:rFonts w:ascii="Arial" w:hAnsi="Arial" w:cs="Arial"/>
          <w:sz w:val="20"/>
        </w:rPr>
        <w:t>Observation 3</w:t>
      </w:r>
      <w:r w:rsidRPr="00A8799B">
        <w:rPr>
          <w:rFonts w:ascii="Arial" w:hAnsi="Arial" w:cs="Arial"/>
          <w:sz w:val="20"/>
        </w:rPr>
        <w:tab/>
        <w:t>It is beneficial to trigger mobility events based on the quality of groups of beams</w:t>
      </w:r>
    </w:p>
    <w:p w14:paraId="0C282244" w14:textId="2664C12E" w:rsidR="004809B5" w:rsidRPr="00A8799B" w:rsidRDefault="004809B5" w:rsidP="004809B5">
      <w:pPr>
        <w:pStyle w:val="Observation"/>
        <w:numPr>
          <w:ilvl w:val="0"/>
          <w:numId w:val="0"/>
        </w:numPr>
        <w:ind w:left="1701" w:hanging="1701"/>
        <w:rPr>
          <w:rFonts w:ascii="Arial" w:hAnsi="Arial" w:cs="Arial"/>
          <w:sz w:val="20"/>
        </w:rPr>
      </w:pPr>
      <w:r w:rsidRPr="00A8799B">
        <w:rPr>
          <w:rFonts w:ascii="Arial" w:hAnsi="Arial" w:cs="Arial"/>
          <w:sz w:val="20"/>
        </w:rPr>
        <w:t>Observation 4</w:t>
      </w:r>
      <w:r w:rsidRPr="00A8799B">
        <w:rPr>
          <w:rFonts w:ascii="Arial" w:hAnsi="Arial" w:cs="Arial"/>
          <w:sz w:val="20"/>
        </w:rPr>
        <w:tab/>
        <w:t>In single TRP cells mobility events can rely on groups of beams per cell</w:t>
      </w:r>
    </w:p>
    <w:p w14:paraId="0253CF7E" w14:textId="23F27C2E" w:rsidR="004809B5" w:rsidRPr="00A8799B" w:rsidRDefault="004809B5" w:rsidP="004809B5">
      <w:pPr>
        <w:pStyle w:val="Observation"/>
        <w:numPr>
          <w:ilvl w:val="0"/>
          <w:numId w:val="0"/>
        </w:numPr>
        <w:ind w:left="1701" w:hanging="1701"/>
        <w:rPr>
          <w:rFonts w:ascii="Arial" w:hAnsi="Arial" w:cs="Arial"/>
          <w:sz w:val="20"/>
        </w:rPr>
      </w:pPr>
      <w:r w:rsidRPr="00A8799B">
        <w:rPr>
          <w:rFonts w:ascii="Arial" w:hAnsi="Arial" w:cs="Arial"/>
          <w:sz w:val="20"/>
        </w:rPr>
        <w:t>Observation 5</w:t>
      </w:r>
      <w:r w:rsidRPr="00A8799B">
        <w:rPr>
          <w:rFonts w:ascii="Arial" w:hAnsi="Arial" w:cs="Arial"/>
          <w:sz w:val="20"/>
        </w:rPr>
        <w:tab/>
        <w:t>In some deployments the triggering of mobility events per cell is too restrictive</w:t>
      </w:r>
    </w:p>
    <w:p w14:paraId="4A6AE03E" w14:textId="64F01397" w:rsidR="004809B5" w:rsidRPr="00A8799B" w:rsidRDefault="004809B5" w:rsidP="004809B5">
      <w:pPr>
        <w:pStyle w:val="Observation"/>
        <w:numPr>
          <w:ilvl w:val="0"/>
          <w:numId w:val="0"/>
        </w:numPr>
        <w:ind w:left="1701" w:hanging="1701"/>
        <w:rPr>
          <w:rFonts w:ascii="Arial" w:hAnsi="Arial" w:cs="Arial"/>
          <w:sz w:val="20"/>
        </w:rPr>
      </w:pPr>
    </w:p>
    <w:p w14:paraId="692C6C55" w14:textId="77777777" w:rsidR="004809B5" w:rsidRPr="00A8799B" w:rsidRDefault="004809B5" w:rsidP="00B2194D">
      <w:pPr>
        <w:pStyle w:val="Observation"/>
        <w:numPr>
          <w:ilvl w:val="0"/>
          <w:numId w:val="0"/>
        </w:numPr>
        <w:rPr>
          <w:rFonts w:ascii="Arial" w:hAnsi="Arial" w:cs="Arial"/>
          <w:sz w:val="20"/>
        </w:rPr>
      </w:pPr>
    </w:p>
    <w:p w14:paraId="4B9698E5" w14:textId="77777777" w:rsidR="00D8203B" w:rsidRPr="00A8799B" w:rsidRDefault="00D8203B" w:rsidP="00D8203B">
      <w:pPr>
        <w:pStyle w:val="Proposal"/>
        <w:numPr>
          <w:ilvl w:val="0"/>
          <w:numId w:val="0"/>
        </w:numPr>
        <w:rPr>
          <w:rFonts w:ascii="Arial" w:hAnsi="Arial" w:cs="Arial"/>
          <w:b w:val="0"/>
          <w:sz w:val="20"/>
        </w:rPr>
      </w:pPr>
      <w:r w:rsidRPr="00A8799B">
        <w:rPr>
          <w:rFonts w:ascii="Arial" w:hAnsi="Arial" w:cs="Arial"/>
          <w:b w:val="0"/>
          <w:sz w:val="20"/>
        </w:rPr>
        <w:t>Based on these observations the following has been proposed:</w:t>
      </w:r>
    </w:p>
    <w:p w14:paraId="49D61CF7" w14:textId="5BFA4CC3" w:rsidR="00B2194D" w:rsidRPr="00A8799B" w:rsidRDefault="00B2194D" w:rsidP="00B2194D">
      <w:pPr>
        <w:pStyle w:val="Proposal"/>
        <w:numPr>
          <w:ilvl w:val="0"/>
          <w:numId w:val="17"/>
        </w:numPr>
        <w:rPr>
          <w:rFonts w:ascii="Arial" w:hAnsi="Arial" w:cs="Arial"/>
          <w:sz w:val="20"/>
        </w:rPr>
      </w:pPr>
      <w:r w:rsidRPr="00A8799B">
        <w:rPr>
          <w:rFonts w:ascii="Arial" w:hAnsi="Arial" w:cs="Arial"/>
          <w:sz w:val="20"/>
        </w:rPr>
        <w:t>Network should be able to configure the UE with mobility events A1-A6 at least associated to the IDLE RS</w:t>
      </w:r>
    </w:p>
    <w:p w14:paraId="6F8C4D29" w14:textId="77777777" w:rsidR="00B2194D" w:rsidRPr="00B2194D" w:rsidRDefault="00B2194D" w:rsidP="00B2194D">
      <w:pPr>
        <w:pStyle w:val="Proposal"/>
        <w:numPr>
          <w:ilvl w:val="0"/>
          <w:numId w:val="17"/>
        </w:numPr>
        <w:rPr>
          <w:rFonts w:ascii="Arial" w:hAnsi="Arial" w:cs="Arial"/>
          <w:sz w:val="20"/>
        </w:rPr>
      </w:pPr>
      <w:r w:rsidRPr="00A8799B">
        <w:rPr>
          <w:rFonts w:ascii="Arial" w:hAnsi="Arial" w:cs="Arial"/>
          <w:sz w:val="20"/>
        </w:rPr>
        <w:t xml:space="preserve">Network should be able to configure the UE with mobility events per beam (based on individual beamformed additional RSs). </w:t>
      </w:r>
      <w:r w:rsidRPr="00B2194D">
        <w:rPr>
          <w:rFonts w:ascii="Arial" w:hAnsi="Arial" w:cs="Arial"/>
          <w:sz w:val="20"/>
        </w:rPr>
        <w:t>FFS Detailed events</w:t>
      </w:r>
    </w:p>
    <w:p w14:paraId="10248177" w14:textId="77777777" w:rsidR="00B2194D" w:rsidRPr="00A8799B" w:rsidRDefault="00B2194D" w:rsidP="00B2194D">
      <w:pPr>
        <w:pStyle w:val="Proposal"/>
        <w:numPr>
          <w:ilvl w:val="0"/>
          <w:numId w:val="17"/>
        </w:numPr>
        <w:rPr>
          <w:rFonts w:ascii="Arial" w:hAnsi="Arial" w:cs="Arial"/>
          <w:sz w:val="20"/>
        </w:rPr>
      </w:pPr>
      <w:r w:rsidRPr="00A8799B">
        <w:rPr>
          <w:rFonts w:ascii="Arial" w:hAnsi="Arial" w:cs="Arial"/>
          <w:sz w:val="20"/>
        </w:rPr>
        <w:t>Mobility events should be configurable for groups of beams (based on additional RS) not restricted to all beams belonging to a cell e.g. per TRP</w:t>
      </w:r>
    </w:p>
    <w:p w14:paraId="042188AB" w14:textId="64806D84" w:rsidR="00B2194D" w:rsidRPr="00A8799B" w:rsidRDefault="00B2194D" w:rsidP="00B2194D">
      <w:pPr>
        <w:pStyle w:val="Proposal"/>
        <w:numPr>
          <w:ilvl w:val="0"/>
          <w:numId w:val="17"/>
        </w:numPr>
        <w:rPr>
          <w:rFonts w:ascii="Arial" w:hAnsi="Arial" w:cs="Arial"/>
          <w:sz w:val="20"/>
        </w:rPr>
      </w:pPr>
      <w:r w:rsidRPr="00A8799B">
        <w:rPr>
          <w:rFonts w:ascii="Arial" w:hAnsi="Arial" w:cs="Arial"/>
          <w:sz w:val="20"/>
        </w:rPr>
        <w:t>New events A1’-A6’ should be defined in NR to support the notion of group of beams associated to beamformed additional RS</w:t>
      </w:r>
    </w:p>
    <w:p w14:paraId="127010A3" w14:textId="77777777" w:rsidR="00D8203B" w:rsidRPr="0081055B" w:rsidRDefault="00D8203B" w:rsidP="00D8203B">
      <w:pPr>
        <w:pStyle w:val="Heading1"/>
        <w:rPr>
          <w:lang w:val="en-US"/>
        </w:rPr>
      </w:pPr>
      <w:bookmarkStart w:id="10" w:name="_In-sequence_SDU_delivery"/>
      <w:bookmarkEnd w:id="10"/>
      <w:r w:rsidRPr="0081055B">
        <w:rPr>
          <w:lang w:val="en-US"/>
        </w:rPr>
        <w:t>References</w:t>
      </w:r>
    </w:p>
    <w:p w14:paraId="35FECD8C" w14:textId="55235608" w:rsidR="001644CE" w:rsidRPr="00A8799B" w:rsidRDefault="001644CE" w:rsidP="001644CE">
      <w:pPr>
        <w:pStyle w:val="Reference"/>
        <w:jc w:val="both"/>
        <w:rPr>
          <w:rFonts w:ascii="Arial" w:hAnsi="Arial" w:cs="Arial"/>
          <w:sz w:val="20"/>
          <w:szCs w:val="20"/>
        </w:rPr>
      </w:pPr>
      <w:bookmarkStart w:id="11" w:name="_Ref473730574"/>
      <w:bookmarkStart w:id="12" w:name="_Ref461217229"/>
      <w:bookmarkStart w:id="13" w:name="_Ref174151459"/>
      <w:bookmarkStart w:id="14" w:name="_Ref189809556"/>
      <w:bookmarkStart w:id="15" w:name="_Ref465773067"/>
      <w:r w:rsidRPr="00A8799B">
        <w:rPr>
          <w:rFonts w:ascii="Arial" w:hAnsi="Arial" w:cs="Arial"/>
          <w:sz w:val="20"/>
          <w:szCs w:val="20"/>
        </w:rPr>
        <w:t>R2-1700648 LS on NR Mobility, RAN1, 3GPP TSG-RAN WG2 NR AdHoc, Spokane, USA, 17th – 19th January 2017.</w:t>
      </w:r>
    </w:p>
    <w:p w14:paraId="5F76A78D" w14:textId="505669A4" w:rsidR="001644CE" w:rsidRPr="00A8799B" w:rsidRDefault="001644CE" w:rsidP="001644CE">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16" w:name="_Ref473904287"/>
      <w:bookmarkStart w:id="17" w:name="_Ref473822476"/>
      <w:r w:rsidRPr="00A8799B">
        <w:rPr>
          <w:rFonts w:ascii="Arial" w:hAnsi="Arial" w:cs="Arial"/>
          <w:sz w:val="20"/>
          <w:szCs w:val="20"/>
        </w:rPr>
        <w:t>R2-1700856</w:t>
      </w:r>
      <w:r w:rsidRPr="00A8799B">
        <w:rPr>
          <w:rFonts w:ascii="Arial" w:hAnsi="Arial" w:cs="Arial"/>
          <w:sz w:val="20"/>
          <w:szCs w:val="20"/>
        </w:rPr>
        <w:tab/>
        <w:t>RRM measurements in CONNECTED based on IDLE RS and additional RS, Ericsson, RAN2#97, Athens, Greece, 13</w:t>
      </w:r>
      <w:r w:rsidRPr="00A8799B">
        <w:rPr>
          <w:rFonts w:ascii="Arial" w:hAnsi="Arial" w:cs="Arial"/>
          <w:sz w:val="20"/>
          <w:szCs w:val="20"/>
          <w:vertAlign w:val="superscript"/>
        </w:rPr>
        <w:t>th</w:t>
      </w:r>
      <w:r w:rsidRPr="00A8799B">
        <w:rPr>
          <w:rFonts w:ascii="Arial" w:hAnsi="Arial" w:cs="Arial"/>
          <w:sz w:val="20"/>
          <w:szCs w:val="20"/>
        </w:rPr>
        <w:t>-17</w:t>
      </w:r>
      <w:r w:rsidRPr="00A8799B">
        <w:rPr>
          <w:rFonts w:ascii="Arial" w:hAnsi="Arial" w:cs="Arial"/>
          <w:sz w:val="20"/>
          <w:szCs w:val="20"/>
          <w:vertAlign w:val="superscript"/>
        </w:rPr>
        <w:t>th</w:t>
      </w:r>
      <w:r w:rsidRPr="00A8799B">
        <w:rPr>
          <w:rFonts w:ascii="Arial" w:hAnsi="Arial" w:cs="Arial"/>
          <w:sz w:val="20"/>
          <w:szCs w:val="20"/>
        </w:rPr>
        <w:t xml:space="preserve"> February 2017.</w:t>
      </w:r>
      <w:bookmarkEnd w:id="16"/>
    </w:p>
    <w:p w14:paraId="0B20466F" w14:textId="0BD2023D" w:rsidR="001644CE" w:rsidRPr="00A8799B" w:rsidRDefault="001644CE" w:rsidP="001644CE">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18" w:name="_Ref473904289"/>
      <w:r w:rsidRPr="00A8799B">
        <w:rPr>
          <w:rFonts w:ascii="Arial" w:hAnsi="Arial" w:cs="Arial"/>
          <w:sz w:val="20"/>
          <w:szCs w:val="20"/>
        </w:rPr>
        <w:t>R2-1700857 Configuration and inter-gNodeB coordination in CONNECTED for IDLE RS and additional RS, Ericsson, RAN2#97, Athens, Greece, 13</w:t>
      </w:r>
      <w:r w:rsidRPr="00A8799B">
        <w:rPr>
          <w:rFonts w:ascii="Arial" w:hAnsi="Arial" w:cs="Arial"/>
          <w:sz w:val="20"/>
          <w:szCs w:val="20"/>
          <w:vertAlign w:val="superscript"/>
        </w:rPr>
        <w:t>th</w:t>
      </w:r>
      <w:r w:rsidRPr="00A8799B">
        <w:rPr>
          <w:rFonts w:ascii="Arial" w:hAnsi="Arial" w:cs="Arial"/>
          <w:sz w:val="20"/>
          <w:szCs w:val="20"/>
        </w:rPr>
        <w:t>-17</w:t>
      </w:r>
      <w:r w:rsidRPr="00A8799B">
        <w:rPr>
          <w:rFonts w:ascii="Arial" w:hAnsi="Arial" w:cs="Arial"/>
          <w:sz w:val="20"/>
          <w:szCs w:val="20"/>
          <w:vertAlign w:val="superscript"/>
        </w:rPr>
        <w:t>th</w:t>
      </w:r>
      <w:r w:rsidRPr="00A8799B">
        <w:rPr>
          <w:rFonts w:ascii="Arial" w:hAnsi="Arial" w:cs="Arial"/>
          <w:sz w:val="20"/>
          <w:szCs w:val="20"/>
        </w:rPr>
        <w:t xml:space="preserve"> February 2017</w:t>
      </w:r>
      <w:bookmarkEnd w:id="17"/>
      <w:r w:rsidRPr="00A8799B">
        <w:rPr>
          <w:rFonts w:ascii="Arial" w:hAnsi="Arial" w:cs="Arial"/>
          <w:sz w:val="20"/>
          <w:szCs w:val="20"/>
        </w:rPr>
        <w:t>.</w:t>
      </w:r>
      <w:bookmarkEnd w:id="18"/>
    </w:p>
    <w:p w14:paraId="5E12532D" w14:textId="09A085EA" w:rsidR="001644CE" w:rsidRPr="00A8799B" w:rsidRDefault="001644CE" w:rsidP="005074FA">
      <w:pPr>
        <w:pStyle w:val="Reference"/>
        <w:rPr>
          <w:rFonts w:ascii="Arial" w:hAnsi="Arial" w:cs="Arial"/>
          <w:sz w:val="20"/>
          <w:szCs w:val="20"/>
        </w:rPr>
      </w:pPr>
      <w:bookmarkStart w:id="19" w:name="_Ref473904283"/>
      <w:r w:rsidRPr="00A8799B">
        <w:rPr>
          <w:rFonts w:ascii="Arial" w:hAnsi="Arial" w:cs="Arial"/>
          <w:sz w:val="20"/>
          <w:szCs w:val="20"/>
        </w:rPr>
        <w:t>R2-1700858</w:t>
      </w:r>
      <w:r w:rsidRPr="00A8799B">
        <w:rPr>
          <w:rFonts w:ascii="Arial" w:hAnsi="Arial" w:cs="Arial"/>
          <w:sz w:val="20"/>
          <w:szCs w:val="20"/>
        </w:rPr>
        <w:tab/>
        <w:t>Derivation of cell measurement based on individual beam measurement in CONNECTED, Ericsson, RAN2#97, Athens, Greece, 13</w:t>
      </w:r>
      <w:r w:rsidRPr="00A8799B">
        <w:rPr>
          <w:rFonts w:ascii="Arial" w:hAnsi="Arial" w:cs="Arial"/>
          <w:sz w:val="20"/>
          <w:szCs w:val="20"/>
          <w:vertAlign w:val="superscript"/>
        </w:rPr>
        <w:t>th</w:t>
      </w:r>
      <w:r w:rsidRPr="00A8799B">
        <w:rPr>
          <w:rFonts w:ascii="Arial" w:hAnsi="Arial" w:cs="Arial"/>
          <w:sz w:val="20"/>
          <w:szCs w:val="20"/>
        </w:rPr>
        <w:t>-17</w:t>
      </w:r>
      <w:r w:rsidRPr="00A8799B">
        <w:rPr>
          <w:rFonts w:ascii="Arial" w:hAnsi="Arial" w:cs="Arial"/>
          <w:sz w:val="20"/>
          <w:szCs w:val="20"/>
          <w:vertAlign w:val="superscript"/>
        </w:rPr>
        <w:t>th</w:t>
      </w:r>
      <w:r w:rsidRPr="00A8799B">
        <w:rPr>
          <w:rFonts w:ascii="Arial" w:hAnsi="Arial" w:cs="Arial"/>
          <w:sz w:val="20"/>
          <w:szCs w:val="20"/>
        </w:rPr>
        <w:t xml:space="preserve"> February 2017.</w:t>
      </w:r>
      <w:bookmarkEnd w:id="19"/>
    </w:p>
    <w:p w14:paraId="6B432852" w14:textId="4F27115A" w:rsidR="001644CE" w:rsidRPr="00A8799B" w:rsidRDefault="00D8203B" w:rsidP="005074FA">
      <w:pPr>
        <w:pStyle w:val="Reference"/>
        <w:rPr>
          <w:rFonts w:ascii="Arial" w:hAnsi="Arial" w:cs="Arial"/>
          <w:sz w:val="20"/>
          <w:szCs w:val="20"/>
        </w:rPr>
      </w:pPr>
      <w:bookmarkStart w:id="20" w:name="_Ref473730666"/>
      <w:bookmarkStart w:id="21" w:name="_Ref473800895"/>
      <w:bookmarkStart w:id="22" w:name="_Ref473907406"/>
      <w:bookmarkEnd w:id="11"/>
      <w:r w:rsidRPr="00A8799B">
        <w:rPr>
          <w:rFonts w:ascii="Arial" w:hAnsi="Arial" w:cs="Arial"/>
          <w:sz w:val="20"/>
          <w:szCs w:val="20"/>
        </w:rPr>
        <w:t>R2-166092, Downlink Measurements for NR Mobility, MediaTek Inc., 3GPP TSG-RAN WG2 Meeting #95bis</w:t>
      </w:r>
      <w:bookmarkEnd w:id="12"/>
      <w:bookmarkEnd w:id="13"/>
      <w:bookmarkEnd w:id="14"/>
      <w:r w:rsidRPr="00A8799B">
        <w:rPr>
          <w:rFonts w:ascii="Arial" w:hAnsi="Arial" w:cs="Arial"/>
          <w:sz w:val="20"/>
          <w:szCs w:val="20"/>
        </w:rPr>
        <w:t>.</w:t>
      </w:r>
      <w:bookmarkEnd w:id="15"/>
      <w:bookmarkEnd w:id="20"/>
      <w:bookmarkEnd w:id="21"/>
      <w:bookmarkEnd w:id="22"/>
      <w:r w:rsidR="003C2E22" w:rsidRPr="00A8799B">
        <w:rPr>
          <w:rFonts w:ascii="Arial" w:hAnsi="Arial" w:cs="Arial"/>
          <w:sz w:val="20"/>
          <w:szCs w:val="20"/>
        </w:rPr>
        <w:t xml:space="preserve"> </w:t>
      </w:r>
    </w:p>
    <w:p w14:paraId="5306CEB2" w14:textId="049CD299" w:rsidR="003C2E22" w:rsidRPr="00A8799B" w:rsidRDefault="003C2E22" w:rsidP="003C2E22">
      <w:pPr>
        <w:pStyle w:val="Reference"/>
        <w:rPr>
          <w:rFonts w:ascii="Arial" w:hAnsi="Arial" w:cs="Arial"/>
          <w:sz w:val="20"/>
          <w:szCs w:val="20"/>
        </w:rPr>
      </w:pPr>
      <w:bookmarkStart w:id="23" w:name="_Ref473911370"/>
      <w:r w:rsidRPr="00A8799B">
        <w:rPr>
          <w:rFonts w:ascii="Arial" w:hAnsi="Arial" w:cs="Arial"/>
          <w:sz w:val="20"/>
          <w:szCs w:val="20"/>
        </w:rPr>
        <w:t>R2-1700861</w:t>
      </w:r>
      <w:r w:rsidRPr="00A8799B">
        <w:rPr>
          <w:rFonts w:ascii="Arial" w:hAnsi="Arial" w:cs="Arial"/>
          <w:sz w:val="20"/>
          <w:szCs w:val="20"/>
        </w:rPr>
        <w:tab/>
        <w:t>Filtering of RRM measurements in CONNECTED, Ericsson, RAN2#97, Athens, Greece, 13th-17th February 2017.</w:t>
      </w:r>
      <w:bookmarkEnd w:id="23"/>
    </w:p>
    <w:sectPr w:rsidR="003C2E22" w:rsidRPr="00A8799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63BA8" w14:textId="77777777" w:rsidR="00D85EF7" w:rsidRDefault="00D85EF7">
      <w:r>
        <w:separator/>
      </w:r>
    </w:p>
  </w:endnote>
  <w:endnote w:type="continuationSeparator" w:id="0">
    <w:p w14:paraId="7F61A4BD" w14:textId="77777777" w:rsidR="00D85EF7" w:rsidRDefault="00D85EF7">
      <w:r>
        <w:continuationSeparator/>
      </w:r>
    </w:p>
  </w:endnote>
  <w:endnote w:type="continuationNotice" w:id="1">
    <w:p w14:paraId="0DD323CC" w14:textId="77777777" w:rsidR="00D85EF7" w:rsidRDefault="00D85E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script"/>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E86B927"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09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09B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B184E" w14:textId="77777777" w:rsidR="00D85EF7" w:rsidRDefault="00D85EF7">
      <w:r>
        <w:separator/>
      </w:r>
    </w:p>
  </w:footnote>
  <w:footnote w:type="continuationSeparator" w:id="0">
    <w:p w14:paraId="399B1C2F" w14:textId="77777777" w:rsidR="00D85EF7" w:rsidRDefault="00D85EF7">
      <w:r>
        <w:continuationSeparator/>
      </w:r>
    </w:p>
  </w:footnote>
  <w:footnote w:type="continuationNotice" w:id="1">
    <w:p w14:paraId="04CE342E" w14:textId="77777777" w:rsidR="00D85EF7" w:rsidRDefault="00D85E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9"/>
  </w:num>
  <w:num w:numId="15">
    <w:abstractNumId w:val="14"/>
  </w:num>
  <w:num w:numId="16">
    <w:abstractNumId w:val="12"/>
    <w:lvlOverride w:ilvl="0">
      <w:startOverride w:val="1"/>
    </w:lvlOverride>
  </w:num>
  <w:num w:numId="17">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4E6A"/>
    <w:rsid w:val="00015D15"/>
    <w:rsid w:val="0002564D"/>
    <w:rsid w:val="00025ECA"/>
    <w:rsid w:val="00027939"/>
    <w:rsid w:val="000325B8"/>
    <w:rsid w:val="0003488A"/>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4CA"/>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44CE"/>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285"/>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512B"/>
    <w:rsid w:val="00405CA5"/>
    <w:rsid w:val="00407CD3"/>
    <w:rsid w:val="00410134"/>
    <w:rsid w:val="00410B72"/>
    <w:rsid w:val="00410F18"/>
    <w:rsid w:val="0041263E"/>
    <w:rsid w:val="00413AAC"/>
    <w:rsid w:val="00420D41"/>
    <w:rsid w:val="00421105"/>
    <w:rsid w:val="004242F4"/>
    <w:rsid w:val="00427248"/>
    <w:rsid w:val="00431080"/>
    <w:rsid w:val="004351A3"/>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09B5"/>
    <w:rsid w:val="00492BC5"/>
    <w:rsid w:val="004964F1"/>
    <w:rsid w:val="004A16BC"/>
    <w:rsid w:val="004A2B94"/>
    <w:rsid w:val="004B7C0C"/>
    <w:rsid w:val="004C3898"/>
    <w:rsid w:val="004D36B1"/>
    <w:rsid w:val="004D7EBD"/>
    <w:rsid w:val="004E0BD6"/>
    <w:rsid w:val="004E1A9A"/>
    <w:rsid w:val="004E2680"/>
    <w:rsid w:val="004E28F9"/>
    <w:rsid w:val="004E462E"/>
    <w:rsid w:val="004E56DC"/>
    <w:rsid w:val="004E76F4"/>
    <w:rsid w:val="004F0B4E"/>
    <w:rsid w:val="004F0B6C"/>
    <w:rsid w:val="004F2078"/>
    <w:rsid w:val="004F4DA3"/>
    <w:rsid w:val="00502773"/>
    <w:rsid w:val="00506557"/>
    <w:rsid w:val="0050677A"/>
    <w:rsid w:val="005074FA"/>
    <w:rsid w:val="005108D8"/>
    <w:rsid w:val="005116F9"/>
    <w:rsid w:val="005153A7"/>
    <w:rsid w:val="005154C5"/>
    <w:rsid w:val="005219CF"/>
    <w:rsid w:val="00531534"/>
    <w:rsid w:val="005338D0"/>
    <w:rsid w:val="00534B59"/>
    <w:rsid w:val="00536759"/>
    <w:rsid w:val="00537C62"/>
    <w:rsid w:val="00546970"/>
    <w:rsid w:val="00554E19"/>
    <w:rsid w:val="0056121F"/>
    <w:rsid w:val="00572505"/>
    <w:rsid w:val="00573931"/>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988"/>
    <w:rsid w:val="006A7AFF"/>
    <w:rsid w:val="006B1816"/>
    <w:rsid w:val="006B2099"/>
    <w:rsid w:val="006B50CF"/>
    <w:rsid w:val="006B67CF"/>
    <w:rsid w:val="006C03B8"/>
    <w:rsid w:val="006C34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55B"/>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57875"/>
    <w:rsid w:val="008677FD"/>
    <w:rsid w:val="008706D4"/>
    <w:rsid w:val="00870F8A"/>
    <w:rsid w:val="008719A4"/>
    <w:rsid w:val="00871D23"/>
    <w:rsid w:val="00874312"/>
    <w:rsid w:val="0087437C"/>
    <w:rsid w:val="00875CD7"/>
    <w:rsid w:val="00876B4D"/>
    <w:rsid w:val="00877F18"/>
    <w:rsid w:val="008809BB"/>
    <w:rsid w:val="00894A88"/>
    <w:rsid w:val="00895386"/>
    <w:rsid w:val="00897CF4"/>
    <w:rsid w:val="008A21FF"/>
    <w:rsid w:val="008A2CE2"/>
    <w:rsid w:val="008A30AC"/>
    <w:rsid w:val="008A44B8"/>
    <w:rsid w:val="008A51A8"/>
    <w:rsid w:val="008A54C7"/>
    <w:rsid w:val="008A77D8"/>
    <w:rsid w:val="008B0483"/>
    <w:rsid w:val="008B120C"/>
    <w:rsid w:val="008B51A0"/>
    <w:rsid w:val="008B592A"/>
    <w:rsid w:val="008B63B8"/>
    <w:rsid w:val="008B7B5C"/>
    <w:rsid w:val="008C0C99"/>
    <w:rsid w:val="008C2017"/>
    <w:rsid w:val="008C27A6"/>
    <w:rsid w:val="008C4958"/>
    <w:rsid w:val="008C4BAA"/>
    <w:rsid w:val="008C6AE8"/>
    <w:rsid w:val="008C7573"/>
    <w:rsid w:val="008D34F1"/>
    <w:rsid w:val="008D39D8"/>
    <w:rsid w:val="008D6D1A"/>
    <w:rsid w:val="008E065E"/>
    <w:rsid w:val="008E0927"/>
    <w:rsid w:val="008E1909"/>
    <w:rsid w:val="008F109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920"/>
    <w:rsid w:val="00953D47"/>
    <w:rsid w:val="00955BA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7E87"/>
    <w:rsid w:val="009C403E"/>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49D6"/>
    <w:rsid w:val="00A25603"/>
    <w:rsid w:val="00A264A9"/>
    <w:rsid w:val="00A27785"/>
    <w:rsid w:val="00A30187"/>
    <w:rsid w:val="00A3448A"/>
    <w:rsid w:val="00A34EED"/>
    <w:rsid w:val="00A36297"/>
    <w:rsid w:val="00A41E2B"/>
    <w:rsid w:val="00A459B9"/>
    <w:rsid w:val="00A45B74"/>
    <w:rsid w:val="00A526D9"/>
    <w:rsid w:val="00A52E1D"/>
    <w:rsid w:val="00A61499"/>
    <w:rsid w:val="00A62A77"/>
    <w:rsid w:val="00A63483"/>
    <w:rsid w:val="00A657D7"/>
    <w:rsid w:val="00A660AC"/>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C7"/>
    <w:rsid w:val="00B739F6"/>
    <w:rsid w:val="00B7716B"/>
    <w:rsid w:val="00B81A6C"/>
    <w:rsid w:val="00B85DE5"/>
    <w:rsid w:val="00B90F73"/>
    <w:rsid w:val="00B93B59"/>
    <w:rsid w:val="00B9406A"/>
    <w:rsid w:val="00BA2280"/>
    <w:rsid w:val="00BA2A08"/>
    <w:rsid w:val="00BA56D2"/>
    <w:rsid w:val="00BA76E0"/>
    <w:rsid w:val="00BB2A25"/>
    <w:rsid w:val="00BB51E9"/>
    <w:rsid w:val="00BC0E6A"/>
    <w:rsid w:val="00BC0FDC"/>
    <w:rsid w:val="00BC3053"/>
    <w:rsid w:val="00BC4D2E"/>
    <w:rsid w:val="00BD48AC"/>
    <w:rsid w:val="00BD5F1A"/>
    <w:rsid w:val="00BE1234"/>
    <w:rsid w:val="00BE2FA6"/>
    <w:rsid w:val="00BE333F"/>
    <w:rsid w:val="00BE7406"/>
    <w:rsid w:val="00BE7603"/>
    <w:rsid w:val="00BF1C29"/>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37CB1"/>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203B"/>
    <w:rsid w:val="00D823C6"/>
    <w:rsid w:val="00D85EF7"/>
    <w:rsid w:val="00D86CA3"/>
    <w:rsid w:val="00D871CE"/>
    <w:rsid w:val="00D9196D"/>
    <w:rsid w:val="00D92982"/>
    <w:rsid w:val="00DA305E"/>
    <w:rsid w:val="00DA5007"/>
    <w:rsid w:val="00DA5417"/>
    <w:rsid w:val="00DA56E8"/>
    <w:rsid w:val="00DA7CBE"/>
    <w:rsid w:val="00DB0A9F"/>
    <w:rsid w:val="00DB377D"/>
    <w:rsid w:val="00DC2D36"/>
    <w:rsid w:val="00DC53EF"/>
    <w:rsid w:val="00DD3821"/>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D86"/>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1625B"/>
    <w:rsid w:val="00F16C19"/>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22ACCBF-6F4C-4F8A-B397-81002842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809B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809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9B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SAQRZK7RPU5V-1-16526</_dlc_DocId>
    <TaxCatchAll xmlns="08b2df90-05d3-4030-90d4-c9feeb4a1cd9">
      <Value>32</Value>
      <Value>31</Value>
      <Value>30</Value>
      <Value>2</Value>
      <Value>1</Value>
    </TaxCatchAll>
    <_dlc_DocIdUrl xmlns="08b2df90-05d3-4030-90d4-c9feeb4a1cd9">
      <Url>https://ericoll.internal.ericsson.com/sites/NSA/_layouts/DocIdRedir.aspx?ID=SAQRZK7RPU5V-1-16526</Url>
      <Description>SAQRZK7RPU5V-1-16526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purl.org/dc/terms/"/>
    <ds:schemaRef ds:uri="http://schemas.openxmlformats.org/package/2006/metadata/core-properties"/>
    <ds:schemaRef ds:uri="http://schemas.microsoft.com/office/2006/metadata/properties"/>
    <ds:schemaRef ds:uri="08b2df90-05d3-4030-90d4-c9feeb4a1cd9"/>
    <ds:schemaRef ds:uri="http://schemas.microsoft.com/sharepoint/v4"/>
    <ds:schemaRef ds:uri="http://purl.org/dc/elements/1.1/"/>
    <ds:schemaRef ds:uri="http://purl.org/dc/dcmitype/"/>
    <ds:schemaRef ds:uri="http://schemas.microsoft.com/office/2006/documentManagement/types"/>
    <ds:schemaRef ds:uri="http://schemas.microsoft.com/office/infopath/2007/PartnerControls"/>
    <ds:schemaRef ds:uri="d46971d8-f4ed-4cac-a977-cede52d8d47b"/>
    <ds:schemaRef ds:uri="http://www.w3.org/XML/1998/namespace"/>
  </ds:schemaRefs>
</ds:datastoreItem>
</file>

<file path=customXml/itemProps3.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4D2BAF58-7613-43D2-825E-94AFD68F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2</cp:revision>
  <cp:lastPrinted>2008-01-31T06:09:00Z</cp:lastPrinted>
  <dcterms:created xsi:type="dcterms:W3CDTF">2017-02-04T02:24:00Z</dcterms:created>
  <dcterms:modified xsi:type="dcterms:W3CDTF">2017-02-04T02:24:00Z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223e20d9-8650-45fa-a8ab-f7bbec1e7401</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